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1247"/>
        <w:tblOverlap w:val="never"/>
        <w:tblW w:w="4820" w:type="dxa"/>
        <w:tblLayout w:type="fixed"/>
        <w:tblLook w:val="01E0" w:firstRow="1" w:lastRow="1" w:firstColumn="1" w:lastColumn="1" w:noHBand="0" w:noVBand="0"/>
      </w:tblPr>
      <w:tblGrid>
        <w:gridCol w:w="2530"/>
        <w:gridCol w:w="2290"/>
      </w:tblGrid>
      <w:tr w:rsidR="00622125" w:rsidRPr="002F0F51" w14:paraId="1731FA0D" w14:textId="77777777" w:rsidTr="00B77F0C">
        <w:trPr>
          <w:trHeight w:hRule="exact" w:val="568"/>
        </w:trPr>
        <w:tc>
          <w:tcPr>
            <w:tcW w:w="2530" w:type="dxa"/>
          </w:tcPr>
          <w:p w14:paraId="6D2988C4" w14:textId="77777777" w:rsidR="00622125" w:rsidRPr="002F0F51" w:rsidRDefault="00622125" w:rsidP="00110C8E">
            <w:pPr>
              <w:pStyle w:val="Header"/>
              <w:spacing w:line="276" w:lineRule="auto"/>
              <w:ind w:left="-113"/>
              <w:jc w:val="both"/>
              <w:rPr>
                <w:sz w:val="16"/>
                <w:szCs w:val="16"/>
                <w:lang w:val="sr-Latn-CS"/>
              </w:rPr>
            </w:pPr>
          </w:p>
        </w:tc>
        <w:tc>
          <w:tcPr>
            <w:tcW w:w="2290" w:type="dxa"/>
          </w:tcPr>
          <w:p w14:paraId="6D70B08D" w14:textId="77777777" w:rsidR="00622125" w:rsidRPr="002F0F51" w:rsidRDefault="00622125" w:rsidP="00110C8E">
            <w:pPr>
              <w:pStyle w:val="Header"/>
              <w:spacing w:line="276" w:lineRule="auto"/>
              <w:ind w:left="-113"/>
              <w:jc w:val="both"/>
              <w:rPr>
                <w:sz w:val="16"/>
                <w:szCs w:val="16"/>
                <w:lang w:val="sr-Latn-CS"/>
              </w:rPr>
            </w:pPr>
          </w:p>
        </w:tc>
      </w:tr>
      <w:tr w:rsidR="00622125" w:rsidRPr="002F0F51" w14:paraId="49E06582" w14:textId="77777777" w:rsidTr="00E82B27">
        <w:trPr>
          <w:trHeight w:val="413"/>
        </w:trPr>
        <w:tc>
          <w:tcPr>
            <w:tcW w:w="2530" w:type="dxa"/>
          </w:tcPr>
          <w:p w14:paraId="73527CB1" w14:textId="77777777" w:rsidR="006527A4" w:rsidRPr="002F0F51" w:rsidRDefault="006527A4" w:rsidP="00110C8E">
            <w:pPr>
              <w:pStyle w:val="Header"/>
              <w:spacing w:line="276" w:lineRule="auto"/>
              <w:ind w:left="-113"/>
              <w:jc w:val="both"/>
              <w:rPr>
                <w:sz w:val="16"/>
                <w:szCs w:val="16"/>
                <w:lang w:val="sr-Latn-CS"/>
              </w:rPr>
            </w:pPr>
          </w:p>
        </w:tc>
        <w:tc>
          <w:tcPr>
            <w:tcW w:w="2290" w:type="dxa"/>
          </w:tcPr>
          <w:p w14:paraId="3E868671" w14:textId="77777777" w:rsidR="00622125" w:rsidRPr="002F0F51" w:rsidRDefault="00622125" w:rsidP="00110C8E">
            <w:pPr>
              <w:pStyle w:val="Header"/>
              <w:spacing w:line="276" w:lineRule="auto"/>
              <w:ind w:left="-113"/>
              <w:jc w:val="both"/>
              <w:rPr>
                <w:sz w:val="16"/>
                <w:szCs w:val="16"/>
                <w:lang w:val="sr-Latn-CS"/>
              </w:rPr>
            </w:pPr>
          </w:p>
        </w:tc>
      </w:tr>
    </w:tbl>
    <w:p w14:paraId="40A2F881" w14:textId="77777777" w:rsidR="000A157A" w:rsidRPr="009D5922" w:rsidRDefault="000A157A" w:rsidP="00110C8E">
      <w:pPr>
        <w:widowControl w:val="0"/>
        <w:numPr>
          <w:ilvl w:val="0"/>
          <w:numId w:val="3"/>
        </w:numPr>
        <w:shd w:val="clear" w:color="auto" w:fill="FFFFFF"/>
        <w:tabs>
          <w:tab w:val="clear" w:pos="1647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venir Next LT Pro" w:hAnsi="Avenir Next LT Pro" w:cs="Arial"/>
          <w:b/>
          <w:sz w:val="22"/>
          <w:szCs w:val="22"/>
          <w:lang w:val="sr-Latn-CS"/>
        </w:rPr>
      </w:pPr>
      <w:r w:rsidRPr="009D5922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Podaci o nosiocu Projekta</w:t>
      </w:r>
    </w:p>
    <w:p w14:paraId="47244341" w14:textId="77777777" w:rsidR="000A157A" w:rsidRPr="007C0CFC" w:rsidRDefault="000A157A" w:rsidP="00110C8E">
      <w:pPr>
        <w:shd w:val="clear" w:color="auto" w:fill="FFFFFF"/>
        <w:spacing w:line="276" w:lineRule="auto"/>
        <w:jc w:val="both"/>
        <w:rPr>
          <w:rFonts w:ascii="Avenir Next LT Pro" w:hAnsi="Avenir Next LT Pro" w:cs="Arial"/>
          <w:sz w:val="22"/>
          <w:szCs w:val="22"/>
          <w:lang w:val="sr-Latn-CS"/>
        </w:rPr>
      </w:pPr>
    </w:p>
    <w:p w14:paraId="5534FF03" w14:textId="77777777" w:rsidR="00316857" w:rsidRPr="00B94CD3" w:rsidRDefault="00316857" w:rsidP="00110C8E">
      <w:pPr>
        <w:spacing w:line="276" w:lineRule="auto"/>
        <w:ind w:right="-4" w:firstLine="720"/>
        <w:jc w:val="both"/>
        <w:rPr>
          <w:rFonts w:ascii="Avenir Next LT Pro" w:hAnsi="Avenir Next LT Pro" w:cs="Arial"/>
          <w:sz w:val="22"/>
          <w:szCs w:val="22"/>
          <w:lang w:val="sr-Latn-CS"/>
        </w:rPr>
      </w:pPr>
      <w:r w:rsidRPr="00B94CD3">
        <w:rPr>
          <w:rFonts w:ascii="Avenir Next LT Pro" w:hAnsi="Avenir Next LT Pro" w:cs="Arial"/>
          <w:sz w:val="22"/>
          <w:szCs w:val="22"/>
          <w:lang w:val="sr-Latn-CS"/>
        </w:rPr>
        <w:t>CETIN d.o.o.</w:t>
      </w:r>
      <w:r>
        <w:rPr>
          <w:rFonts w:ascii="Avenir Next LT Pro" w:hAnsi="Avenir Next LT Pro" w:cs="Arial"/>
          <w:sz w:val="22"/>
          <w:szCs w:val="22"/>
          <w:lang w:val="sr-Latn-CS"/>
        </w:rPr>
        <w:t xml:space="preserve"> Beograd – Novi Beograd</w:t>
      </w:r>
    </w:p>
    <w:p w14:paraId="6D27ED3B" w14:textId="77777777" w:rsidR="00316857" w:rsidRPr="00B94CD3" w:rsidRDefault="00316857" w:rsidP="00110C8E">
      <w:pPr>
        <w:spacing w:line="276" w:lineRule="auto"/>
        <w:ind w:right="-4" w:firstLine="720"/>
        <w:jc w:val="both"/>
        <w:rPr>
          <w:rFonts w:ascii="Avenir Next LT Pro" w:hAnsi="Avenir Next LT Pro" w:cs="Arial"/>
          <w:sz w:val="22"/>
          <w:szCs w:val="22"/>
          <w:lang w:val="sr-Latn-CS"/>
        </w:rPr>
      </w:pPr>
      <w:r w:rsidRPr="00B94CD3">
        <w:rPr>
          <w:rFonts w:ascii="Avenir Next LT Pro" w:hAnsi="Avenir Next LT Pro" w:cs="Arial"/>
          <w:sz w:val="22"/>
          <w:szCs w:val="22"/>
          <w:lang w:val="sr-Latn-CS"/>
        </w:rPr>
        <w:t>Omladinskih brigada 90</w:t>
      </w:r>
    </w:p>
    <w:p w14:paraId="2FC4D3CA" w14:textId="77777777" w:rsidR="00316857" w:rsidRPr="00B94CD3" w:rsidRDefault="00316857" w:rsidP="00110C8E">
      <w:pPr>
        <w:spacing w:line="276" w:lineRule="auto"/>
        <w:ind w:right="-4" w:firstLine="720"/>
        <w:jc w:val="both"/>
        <w:rPr>
          <w:rFonts w:ascii="Avenir Next LT Pro" w:hAnsi="Avenir Next LT Pro" w:cs="Arial"/>
          <w:sz w:val="22"/>
          <w:szCs w:val="22"/>
          <w:lang w:val="sr-Latn-CS"/>
        </w:rPr>
      </w:pPr>
      <w:r w:rsidRPr="00B94CD3">
        <w:rPr>
          <w:rFonts w:ascii="Avenir Next LT Pro" w:hAnsi="Avenir Next LT Pro" w:cs="Arial"/>
          <w:sz w:val="22"/>
          <w:szCs w:val="22"/>
          <w:lang w:val="sr-Latn-CS"/>
        </w:rPr>
        <w:t>11 070 Novi Beograd</w:t>
      </w:r>
    </w:p>
    <w:p w14:paraId="2CFDC0D4" w14:textId="77777777" w:rsidR="00316857" w:rsidRPr="00B94CD3" w:rsidRDefault="00316857" w:rsidP="00110C8E">
      <w:pPr>
        <w:spacing w:line="276" w:lineRule="auto"/>
        <w:ind w:right="-4" w:firstLine="720"/>
        <w:jc w:val="both"/>
        <w:rPr>
          <w:rFonts w:ascii="Avenir Next LT Pro" w:hAnsi="Avenir Next LT Pro" w:cs="Arial"/>
          <w:sz w:val="22"/>
          <w:szCs w:val="22"/>
          <w:lang w:val="sr-Latn-CS"/>
        </w:rPr>
      </w:pPr>
      <w:r w:rsidRPr="00B94CD3">
        <w:rPr>
          <w:rFonts w:ascii="Avenir Next LT Pro" w:hAnsi="Avenir Next LT Pro" w:cs="Arial"/>
          <w:sz w:val="22"/>
          <w:szCs w:val="22"/>
          <w:lang w:val="sr-Latn-CS"/>
        </w:rPr>
        <w:t>Tel. 063/230-4</w:t>
      </w:r>
      <w:r>
        <w:rPr>
          <w:rFonts w:ascii="Avenir Next LT Pro" w:hAnsi="Avenir Next LT Pro" w:cs="Arial"/>
          <w:sz w:val="22"/>
          <w:szCs w:val="22"/>
          <w:lang w:val="sr-Latn-CS"/>
        </w:rPr>
        <w:t>47</w:t>
      </w:r>
    </w:p>
    <w:p w14:paraId="1DDB53B1" w14:textId="77777777" w:rsidR="00316857" w:rsidRPr="00B94CD3" w:rsidRDefault="00316857" w:rsidP="00110C8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-4" w:firstLine="7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 w:rsidRPr="00B94CD3">
        <w:rPr>
          <w:rFonts w:ascii="Avenir Next LT Pro" w:hAnsi="Avenir Next LT Pro" w:cs="Arial"/>
          <w:sz w:val="22"/>
          <w:szCs w:val="22"/>
          <w:lang w:val="sr-Latn-CS"/>
        </w:rPr>
        <w:t xml:space="preserve">e-mail: </w:t>
      </w:r>
      <w:hyperlink r:id="rId12" w:history="1">
        <w:r w:rsidRPr="00AD42A2">
          <w:rPr>
            <w:rStyle w:val="Hyperlink"/>
            <w:rFonts w:ascii="Avenir Next LT Pro" w:hAnsi="Avenir Next LT Pro" w:cs="Calibri"/>
            <w:sz w:val="22"/>
            <w:szCs w:val="22"/>
            <w:lang w:val="sr-Latn-CS"/>
          </w:rPr>
          <w:t>marina.janackovic@cetin.rs</w:t>
        </w:r>
      </w:hyperlink>
    </w:p>
    <w:p w14:paraId="02267C81" w14:textId="77777777" w:rsidR="00316857" w:rsidRPr="007C0CFC" w:rsidRDefault="00316857" w:rsidP="00110C8E">
      <w:pPr>
        <w:shd w:val="clear" w:color="auto" w:fill="FFFFFF"/>
        <w:spacing w:line="276" w:lineRule="auto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</w:p>
    <w:p w14:paraId="1983141E" w14:textId="77777777" w:rsidR="00316857" w:rsidRPr="00110C8E" w:rsidRDefault="009D5922" w:rsidP="005B7B5D">
      <w:pPr>
        <w:widowControl w:val="0"/>
        <w:numPr>
          <w:ilvl w:val="0"/>
          <w:numId w:val="3"/>
        </w:numPr>
        <w:shd w:val="clear" w:color="auto" w:fill="FFFFFF"/>
        <w:tabs>
          <w:tab w:val="clear" w:pos="1647"/>
          <w:tab w:val="num" w:pos="-2613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Avenir Next LT Pro" w:hAnsi="Avenir Next LT Pro" w:cs="Arial"/>
          <w:b/>
          <w:bCs/>
          <w:sz w:val="22"/>
          <w:szCs w:val="22"/>
          <w:lang w:val="sr-Latn-CS"/>
        </w:rPr>
      </w:pPr>
      <w:r w:rsidRPr="00110C8E">
        <w:rPr>
          <w:rFonts w:ascii="Avenir Next LT Pro" w:hAnsi="Avenir Next LT Pro" w:cs="Arial"/>
          <w:b/>
          <w:bCs/>
          <w:sz w:val="22"/>
          <w:szCs w:val="22"/>
          <w:lang w:val="sr-Latn-CS"/>
        </w:rPr>
        <w:t>Opis lokacije</w:t>
      </w:r>
    </w:p>
    <w:p w14:paraId="54A77FAB" w14:textId="619BC124" w:rsidR="009D5922" w:rsidRDefault="009D5922" w:rsidP="005B7B5D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color w:val="000000"/>
          <w:sz w:val="22"/>
          <w:szCs w:val="22"/>
          <w:lang w:val="sr-Latn-CS"/>
        </w:rPr>
        <w:t>Predmetni projekat se odnosi na izgradnju slobodnostojećeg poslovnog objekta telekomunikacionog centra – data centra, na katastarskoj parceli broj 2518 KO Beli Potok, Kružni put Rakovica, Opština Voždovac, Beograd</w:t>
      </w:r>
      <w:r w:rsidR="00D27FF0">
        <w:rPr>
          <w:rFonts w:ascii="Avenir Next LT Pro" w:hAnsi="Avenir Next LT Pro" w:cs="Arial"/>
          <w:color w:val="000000"/>
          <w:sz w:val="22"/>
          <w:szCs w:val="22"/>
          <w:lang w:val="sr-Latn-CS"/>
        </w:rPr>
        <w:t xml:space="preserve">, koji </w:t>
      </w:r>
      <w:r w:rsidR="00323167">
        <w:rPr>
          <w:rFonts w:ascii="Avenir Next LT Pro" w:hAnsi="Avenir Next LT Pro" w:cs="Arial"/>
          <w:color w:val="000000"/>
          <w:sz w:val="22"/>
          <w:szCs w:val="22"/>
          <w:lang w:val="sr-Latn-CS"/>
        </w:rPr>
        <w:t xml:space="preserve">nije izvor elektromagnetnog zračenja visokih </w:t>
      </w:r>
      <w:r w:rsidR="00D73DDC">
        <w:rPr>
          <w:rFonts w:ascii="Avenir Next LT Pro" w:hAnsi="Avenir Next LT Pro" w:cs="Arial"/>
          <w:color w:val="000000"/>
          <w:sz w:val="22"/>
          <w:szCs w:val="22"/>
          <w:lang w:val="sr-Latn-CS"/>
        </w:rPr>
        <w:t>frekvencija</w:t>
      </w:r>
      <w:r w:rsidR="00323167">
        <w:rPr>
          <w:rFonts w:ascii="Avenir Next LT Pro" w:hAnsi="Avenir Next LT Pro" w:cs="Arial"/>
          <w:color w:val="000000"/>
          <w:sz w:val="22"/>
          <w:szCs w:val="22"/>
          <w:lang w:val="sr-Latn-CS"/>
        </w:rPr>
        <w:t>.</w:t>
      </w:r>
    </w:p>
    <w:p w14:paraId="38D99984" w14:textId="77777777" w:rsidR="009D5922" w:rsidRDefault="009D5922" w:rsidP="005B7B5D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color w:val="000000"/>
          <w:sz w:val="22"/>
          <w:szCs w:val="22"/>
          <w:lang w:val="sr-Latn-CS"/>
        </w:rPr>
        <w:t>Predmetna parcela se nalazi u obuhvatu Plana detaljne regulacije za komercijalnu zonu u Bubanj potoku, između obilaznice i planirane železničke pruge, gradska opština Voždovac, u okviru komercijalne zone K3. Površina katastarske parcele iznosi 7.242 m</w:t>
      </w:r>
      <w:r w:rsidRPr="009D5922">
        <w:rPr>
          <w:rFonts w:ascii="Avenir Next LT Pro" w:hAnsi="Avenir Next LT Pro" w:cs="Arial"/>
          <w:color w:val="000000"/>
          <w:sz w:val="22"/>
          <w:szCs w:val="22"/>
          <w:vertAlign w:val="superscript"/>
          <w:lang w:val="sr-Latn-CS"/>
        </w:rPr>
        <w:t>2</w:t>
      </w:r>
      <w:r>
        <w:rPr>
          <w:rFonts w:ascii="Avenir Next LT Pro" w:hAnsi="Avenir Next LT Pro" w:cs="Arial"/>
          <w:color w:val="000000"/>
          <w:sz w:val="22"/>
          <w:szCs w:val="22"/>
          <w:lang w:val="sr-Latn-CS"/>
        </w:rPr>
        <w:t>, a planirana namena je u skladu sa važećom planskom dokumentacijom.</w:t>
      </w:r>
    </w:p>
    <w:p w14:paraId="0EE320FE" w14:textId="77777777" w:rsidR="009D5922" w:rsidRPr="009D5922" w:rsidRDefault="009D5922" w:rsidP="005B7B5D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Aptos" w:hAnsi="Aptos" w:cs="Arial"/>
          <w:sz w:val="22"/>
          <w:szCs w:val="22"/>
          <w:lang w:val="sr-Latn-RS"/>
        </w:rPr>
      </w:pPr>
      <w:r>
        <w:rPr>
          <w:rFonts w:ascii="Avenir Next LT Pro" w:hAnsi="Avenir Next LT Pro" w:cs="Arial"/>
          <w:color w:val="000000"/>
          <w:sz w:val="22"/>
          <w:szCs w:val="22"/>
          <w:lang w:val="sr-Latn-CS"/>
        </w:rPr>
        <w:t>Pristup parceli predviđen je sa ulice Nova 5, na K.P. 1073/3 KO Beli Potok, a nakon izgradnje Nove 1 moguć je i predviđen pristup sa Nove 1.</w:t>
      </w:r>
    </w:p>
    <w:p w14:paraId="3A75610D" w14:textId="77777777" w:rsidR="009D5922" w:rsidRPr="009D5922" w:rsidRDefault="009D592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sz w:val="22"/>
          <w:szCs w:val="22"/>
          <w:lang w:val="sr-Latn-CS"/>
        </w:rPr>
      </w:pPr>
    </w:p>
    <w:p w14:paraId="44191314" w14:textId="77777777" w:rsidR="00316857" w:rsidRPr="00110C8E" w:rsidRDefault="009D5922" w:rsidP="005B7B5D">
      <w:pPr>
        <w:widowControl w:val="0"/>
        <w:numPr>
          <w:ilvl w:val="0"/>
          <w:numId w:val="3"/>
        </w:numPr>
        <w:shd w:val="clear" w:color="auto" w:fill="FFFFFF"/>
        <w:tabs>
          <w:tab w:val="clear" w:pos="1647"/>
          <w:tab w:val="num" w:pos="-2613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Avenir Next LT Pro" w:hAnsi="Avenir Next LT Pro" w:cs="Arial"/>
          <w:b/>
          <w:sz w:val="22"/>
          <w:szCs w:val="22"/>
          <w:lang w:val="sr-Latn-CS"/>
        </w:rPr>
      </w:pPr>
      <w:r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Opis k</w:t>
      </w:r>
      <w:r w:rsidR="000A157A"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arakteristik</w:t>
      </w:r>
      <w:r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a</w:t>
      </w:r>
      <w:r w:rsidR="000A157A"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 xml:space="preserve"> projekta</w:t>
      </w:r>
    </w:p>
    <w:p w14:paraId="10FDBA90" w14:textId="77777777" w:rsidR="009D5922" w:rsidRDefault="009D592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Predmetni projekat obuhvata izgradnju slobodnostojećeg poslovnog objekta telekomunikacionog centra – data centra, spratnosti Po+P+1 (tehnološki deo) i P+2 (administrativni deo), na katastarskoj parceli broj 2518 KO Beli Potok, Opština Voždovac, Beograd. Planirana ukupna bruto razvijena građevinska površina objekta iznosi 3.986,95 m</w:t>
      </w:r>
      <w:r w:rsidRPr="009D5922">
        <w:rPr>
          <w:rFonts w:ascii="Avenir Next LT Pro" w:hAnsi="Avenir Next LT Pro" w:cs="Arial"/>
          <w:bCs/>
          <w:color w:val="000000"/>
          <w:sz w:val="22"/>
          <w:szCs w:val="22"/>
          <w:vertAlign w:val="superscript"/>
          <w:lang w:val="sr-Latn-CS"/>
        </w:rPr>
        <w:t>2</w:t>
      </w: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.</w:t>
      </w:r>
    </w:p>
    <w:p w14:paraId="20B59C15" w14:textId="77777777" w:rsidR="005B7B5D" w:rsidRDefault="009D592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Kompleks obuhvata</w:t>
      </w:r>
      <w:r w:rsidR="005B7B5D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:</w:t>
      </w:r>
    </w:p>
    <w:p w14:paraId="6E0D7D4A" w14:textId="77777777" w:rsidR="005B7B5D" w:rsidRPr="005B7B5D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5B7B5D">
        <w:rPr>
          <w:rFonts w:ascii="Avenir Next LT Pro" w:hAnsi="Avenir Next LT Pro" w:cs="Arial"/>
          <w:bCs/>
          <w:sz w:val="22"/>
          <w:szCs w:val="22"/>
          <w:lang w:val="sr-Latn-CS"/>
        </w:rPr>
        <w:t>glavni objekat data centra</w:t>
      </w:r>
    </w:p>
    <w:p w14:paraId="168C84E2" w14:textId="77777777" w:rsidR="005B7B5D" w:rsidRPr="005B7B5D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5B7B5D">
        <w:rPr>
          <w:rFonts w:ascii="Avenir Next LT Pro" w:hAnsi="Avenir Next LT Pro" w:cs="Arial"/>
          <w:bCs/>
          <w:sz w:val="22"/>
          <w:szCs w:val="22"/>
          <w:lang w:val="sr-Latn-CS"/>
        </w:rPr>
        <w:t>dve trafostanice</w:t>
      </w:r>
    </w:p>
    <w:p w14:paraId="27D29577" w14:textId="77777777" w:rsidR="005B7B5D" w:rsidRPr="005B7B5D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5B7B5D">
        <w:rPr>
          <w:rFonts w:ascii="Avenir Next LT Pro" w:hAnsi="Avenir Next LT Pro" w:cs="Arial"/>
          <w:bCs/>
          <w:sz w:val="22"/>
          <w:szCs w:val="22"/>
          <w:lang w:val="sr-Latn-CS"/>
        </w:rPr>
        <w:t>plato za dizel agregate</w:t>
      </w:r>
    </w:p>
    <w:p w14:paraId="54BCB505" w14:textId="77777777" w:rsidR="005B7B5D" w:rsidRPr="005B7B5D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5B7B5D">
        <w:rPr>
          <w:rFonts w:ascii="Avenir Next LT Pro" w:hAnsi="Avenir Next LT Pro" w:cs="Arial"/>
          <w:bCs/>
          <w:sz w:val="22"/>
          <w:szCs w:val="22"/>
          <w:lang w:val="sr-Latn-CS"/>
        </w:rPr>
        <w:t>podzemne rezervoare goriva</w:t>
      </w:r>
    </w:p>
    <w:p w14:paraId="265EC2B6" w14:textId="667962E5" w:rsidR="005B7B5D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5B7B5D">
        <w:rPr>
          <w:rFonts w:ascii="Avenir Next LT Pro" w:hAnsi="Avenir Next LT Pro" w:cs="Arial"/>
          <w:bCs/>
          <w:sz w:val="22"/>
          <w:szCs w:val="22"/>
          <w:lang w:val="sr-Latn-CS"/>
        </w:rPr>
        <w:t>separator i prateću infrastrukturu</w:t>
      </w:r>
    </w:p>
    <w:p w14:paraId="40657440" w14:textId="11F7C512" w:rsidR="005B7B5D" w:rsidRPr="008B2B5A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unutrašnje saobraćajnice i zelene površine</w:t>
      </w:r>
    </w:p>
    <w:p w14:paraId="70EAE70C" w14:textId="1C6089ED" w:rsidR="009D5922" w:rsidRDefault="00E724C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Projekat se nalazi u nenaseljenom području</w:t>
      </w:r>
      <w:r w:rsidR="00426F59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 planiranom u zoni namenjenoj za komercijalne sadržaje</w:t>
      </w: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.</w:t>
      </w:r>
    </w:p>
    <w:p w14:paraId="7EAEB529" w14:textId="77777777" w:rsidR="009D5922" w:rsidRDefault="009D592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Objekat je namenjen smeštaju telekomunikacione i informatičke opreme za obradu, skladištenje i prenos podataka. Tehnološki deo objekta projektovan je sa osam data sala raspoređenih u prizemlju i prvom spratu, sa pratećim tehničkim prostorijama i infrastrukturom neophodnom za nesmetan rad sistema. U administrativnom delu objekta predviđeni su kancelarijski, logistički i pomoćni sadržaji. U objektu je predviđen rad ukupno 6 zaposlenih.</w:t>
      </w:r>
    </w:p>
    <w:p w14:paraId="0F68E533" w14:textId="77777777" w:rsidR="009D5922" w:rsidRDefault="009D592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Napajanje objekta električnom energijom predviđeno je preko elektroenergetskog sistema sa maksimalnom jednovremenom snagom od 3,6 MW. U objektu su predviđene dve trafostanice </w:t>
      </w: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lastRenderedPageBreak/>
        <w:t xml:space="preserve">sa </w:t>
      </w:r>
      <w:r w:rsid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po dva transformatora snage 1600 </w:t>
      </w:r>
      <w:proofErr w:type="spellStart"/>
      <w:r w:rsid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kVA</w:t>
      </w:r>
      <w:proofErr w:type="spellEnd"/>
      <w:r w:rsid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, UPS sistemi za besprekidno napajanje, kao i dizel-električni agregati za rezervno napajanje u slučaju prekida isporuke električne energije.</w:t>
      </w:r>
    </w:p>
    <w:p w14:paraId="462DA061" w14:textId="77777777" w:rsidR="00637E42" w:rsidRDefault="00637E4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Za potrebe </w:t>
      </w:r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rezervnog napajanja predviđena su dva podzemna </w:t>
      </w:r>
      <w:proofErr w:type="spellStart"/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dvoplaštna</w:t>
      </w:r>
      <w:proofErr w:type="spellEnd"/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 rezervoara za skladištenje evro dizela zapremine po 30 m³, odnosno ukupnog kapaciteta 60 m³. Rezervoari su potpuno ukopani i projektovani u skladu sa propisima koji regulišu skladištenje zapaljivih i gorivih tečnosti.</w:t>
      </w:r>
    </w:p>
    <w:p w14:paraId="5F6E94AF" w14:textId="77777777" w:rsidR="00637E42" w:rsidRDefault="00637E4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Hlađenje tehnološke opreme obezbeđuje se preko sistema rashladne vode sa dodatkom </w:t>
      </w:r>
      <w:proofErr w:type="spellStart"/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propilen-glikola</w:t>
      </w:r>
      <w:proofErr w:type="spellEnd"/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, dok je objekat priključen na javnu vodovodnu i kanalizacionu mrežu. Predviđeni kapacitet potrošnje sanitarne vode iznosi 0,98 l/s, dok je za potrebe hidrantske mreže predviđen poseban rezervoar zapremine 72 m³.</w:t>
      </w:r>
    </w:p>
    <w:p w14:paraId="304AE98C" w14:textId="77777777" w:rsidR="00637E42" w:rsidRPr="009D5922" w:rsidRDefault="00637E42" w:rsidP="005B7B5D">
      <w:pPr>
        <w:widowControl w:val="0"/>
        <w:shd w:val="clear" w:color="auto" w:fill="FFFFFF"/>
        <w:tabs>
          <w:tab w:val="num" w:pos="-2613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</w:pPr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Tokom rada objekta ne odvija se proizvodni proces niti se očekuje </w:t>
      </w:r>
      <w:r w:rsidR="00426F59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>stvaranje</w:t>
      </w:r>
      <w:r w:rsidRPr="00637E42">
        <w:rPr>
          <w:rFonts w:ascii="Avenir Next LT Pro" w:hAnsi="Avenir Next LT Pro" w:cs="Arial"/>
          <w:bCs/>
          <w:color w:val="000000"/>
          <w:sz w:val="22"/>
          <w:szCs w:val="22"/>
          <w:lang w:val="sr-Latn-CS"/>
        </w:rPr>
        <w:t xml:space="preserve"> otpada. Očekuje se nastanak komunalnog otpada od zaposlenih, kao i manjih količina otpada nastalog održavanjem elektroenergetske, telekomunikacione i mašinske opreme, kojim će se upravljati u skladu sa važećim propisima.</w:t>
      </w:r>
    </w:p>
    <w:p w14:paraId="44EE6FE2" w14:textId="77777777" w:rsidR="00585954" w:rsidRPr="000F04BE" w:rsidRDefault="00585954" w:rsidP="005B7B5D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sz w:val="22"/>
          <w:szCs w:val="22"/>
          <w:highlight w:val="yellow"/>
          <w:lang w:val="sr-Latn-CS"/>
        </w:rPr>
      </w:pPr>
    </w:p>
    <w:p w14:paraId="0A470AA5" w14:textId="77777777" w:rsidR="00316857" w:rsidRPr="00110C8E" w:rsidRDefault="00585954" w:rsidP="005B7B5D">
      <w:pPr>
        <w:widowControl w:val="0"/>
        <w:numPr>
          <w:ilvl w:val="0"/>
          <w:numId w:val="3"/>
        </w:numPr>
        <w:shd w:val="clear" w:color="auto" w:fill="FFFFFF"/>
        <w:tabs>
          <w:tab w:val="clear" w:pos="1647"/>
          <w:tab w:val="num" w:pos="-268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Avenir Next LT Pro" w:hAnsi="Avenir Next LT Pro" w:cs="Arial"/>
          <w:b/>
          <w:sz w:val="22"/>
          <w:szCs w:val="22"/>
          <w:lang w:val="sr-Latn-CS"/>
        </w:rPr>
      </w:pPr>
      <w:r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Prikaz glavnih alternativa koje su razmatrane</w:t>
      </w:r>
    </w:p>
    <w:p w14:paraId="4D8E797F" w14:textId="77777777" w:rsidR="005E35D6" w:rsidRDefault="00585954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3B7A24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Prilikom razvoja projekta razmatrane su alternativne lokacije i tehnička rešenja za smeštaj </w:t>
      </w:r>
      <w:r w:rsidR="005E35D6" w:rsidRPr="003B7A24">
        <w:rPr>
          <w:rFonts w:ascii="Avenir Next LT Pro" w:hAnsi="Avenir Next LT Pro" w:cs="Arial"/>
          <w:bCs/>
          <w:sz w:val="22"/>
          <w:szCs w:val="22"/>
          <w:lang w:val="sr-Latn-CS"/>
        </w:rPr>
        <w:t>telekomunikacionog centra, u skladu sa planskom dokumentacijom, infrastrukturnim mogućnostima lokacije, zahtevima za pouzdano napajanje električnom energijom i potrebama telekomunikacione mreže.</w:t>
      </w:r>
    </w:p>
    <w:p w14:paraId="7AB7CDCC" w14:textId="77777777" w:rsidR="005B7B5D" w:rsidRPr="008B2B5A" w:rsidRDefault="005B7B5D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Kao optimalno rešenje odabrana je lokacija u Belom Potoku, zbog:</w:t>
      </w:r>
    </w:p>
    <w:p w14:paraId="70CBF32F" w14:textId="77777777" w:rsidR="005B7B5D" w:rsidRPr="008B2B5A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neposredne blizine planirane i postojeće infrastrukture</w:t>
      </w:r>
    </w:p>
    <w:p w14:paraId="5B3D48FC" w14:textId="77777777" w:rsidR="005B7B5D" w:rsidRPr="008B2B5A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dostupnosti pouzdanog elektroenergetskog napajanja</w:t>
      </w:r>
    </w:p>
    <w:p w14:paraId="5925CF93" w14:textId="045FCFAE" w:rsidR="005B7B5D" w:rsidRPr="008B2B5A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pogodnog položaja u mrežnoj topologiji</w:t>
      </w:r>
    </w:p>
    <w:p w14:paraId="3D25B638" w14:textId="1A99270D" w:rsidR="005B7B5D" w:rsidRPr="008B2B5A" w:rsidRDefault="005B7B5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usklađenosti sa planskom dokumentacijom</w:t>
      </w:r>
    </w:p>
    <w:p w14:paraId="6DD7D6FA" w14:textId="77777777" w:rsidR="005E35D6" w:rsidRDefault="005E35D6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3B7A24">
        <w:rPr>
          <w:rFonts w:ascii="Avenir Next LT Pro" w:hAnsi="Avenir Next LT Pro" w:cs="Arial"/>
          <w:bCs/>
          <w:sz w:val="22"/>
          <w:szCs w:val="22"/>
          <w:lang w:val="sr-Latn-CS"/>
        </w:rPr>
        <w:t>Usvojeno rešenje predstavlja optimalan odnos tehničkih, funkcionalnih, bezbednosnih i prostornih zahteva, uz poštovanje uslova definisanih važećom planskom i tehničkom dokumentacijom.</w:t>
      </w:r>
    </w:p>
    <w:p w14:paraId="0C5F14E2" w14:textId="77777777" w:rsidR="00585954" w:rsidRPr="000F04BE" w:rsidRDefault="00585954" w:rsidP="005B7B5D">
      <w:pPr>
        <w:widowControl w:val="0"/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sz w:val="22"/>
          <w:szCs w:val="22"/>
          <w:highlight w:val="yellow"/>
          <w:lang w:val="sr-Latn-CS"/>
        </w:rPr>
      </w:pPr>
    </w:p>
    <w:p w14:paraId="36B0D07C" w14:textId="77777777" w:rsidR="00316857" w:rsidRPr="00110C8E" w:rsidRDefault="00585954" w:rsidP="005B7B5D">
      <w:pPr>
        <w:widowControl w:val="0"/>
        <w:numPr>
          <w:ilvl w:val="0"/>
          <w:numId w:val="3"/>
        </w:numPr>
        <w:shd w:val="clear" w:color="auto" w:fill="FFFFFF"/>
        <w:tabs>
          <w:tab w:val="clear" w:pos="1647"/>
          <w:tab w:val="num" w:pos="-268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Avenir Next LT Pro" w:hAnsi="Avenir Next LT Pro" w:cs="Arial"/>
          <w:b/>
          <w:sz w:val="22"/>
          <w:szCs w:val="22"/>
          <w:lang w:val="sr-Latn-CS"/>
        </w:rPr>
      </w:pPr>
      <w:r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Opis činilaca životne sredine koji mogu biti izloženi uticaju</w:t>
      </w:r>
    </w:p>
    <w:p w14:paraId="383AE93C" w14:textId="6662F56C" w:rsidR="00585954" w:rsidRDefault="00585954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585954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Predmetna lokacija nalazi se u </w:t>
      </w:r>
      <w:r w:rsidR="00583F96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nenaseljenom području u </w:t>
      </w:r>
      <w:r w:rsidRPr="00585954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okviru </w:t>
      </w:r>
      <w:r w:rsidR="00583F96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planirane </w:t>
      </w:r>
      <w:r w:rsidRPr="00585954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komercijalne zone predviđene planskom dokumentacijom. Realizacijom projekta neće doći do </w:t>
      </w:r>
      <w:r w:rsidR="00033DAF" w:rsidRPr="00585954">
        <w:rPr>
          <w:rFonts w:ascii="Avenir Next LT Pro" w:hAnsi="Avenir Next LT Pro" w:cs="Arial"/>
          <w:bCs/>
          <w:sz w:val="22"/>
          <w:szCs w:val="22"/>
          <w:lang w:val="sr-Latn-CS"/>
        </w:rPr>
        <w:t>pre namene</w:t>
      </w:r>
      <w:r w:rsidRPr="00585954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 zaštićenih prirodnih dobara niti do ugrožavanja kulturnih dobara, zaštićenih područja ili drugih posebno osetljivih elemenata životne sredine.</w:t>
      </w:r>
      <w:r w:rsidR="005B7B5D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 </w:t>
      </w:r>
      <w:r w:rsidR="005B7B5D" w:rsidRPr="005B7B5D">
        <w:rPr>
          <w:rFonts w:ascii="Avenir Next LT Pro" w:hAnsi="Avenir Next LT Pro" w:cs="Arial"/>
          <w:bCs/>
          <w:sz w:val="22"/>
          <w:szCs w:val="22"/>
          <w:lang w:val="sr-Latn-CS"/>
        </w:rPr>
        <w:t>Realizacija projekta ne podrazumeva zahvate na zaštićenim prirodnim ili kulturnim dobrima.</w:t>
      </w:r>
    </w:p>
    <w:p w14:paraId="2733B9B4" w14:textId="4FF08899" w:rsidR="00585954" w:rsidRDefault="008B2B5A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Potencijalni uticaji kojima mogu biti izloženi zemljište i podzemne vode u slučaju akcidentnih situacija su ekstremno niske.</w:t>
      </w:r>
    </w:p>
    <w:p w14:paraId="06680370" w14:textId="77777777" w:rsidR="00091271" w:rsidRPr="00091271" w:rsidRDefault="00585954" w:rsidP="005B7B5D">
      <w:pPr>
        <w:widowControl w:val="0"/>
        <w:numPr>
          <w:ilvl w:val="0"/>
          <w:numId w:val="3"/>
        </w:numPr>
        <w:shd w:val="clear" w:color="auto" w:fill="FFFFFF"/>
        <w:tabs>
          <w:tab w:val="clear" w:pos="1647"/>
          <w:tab w:val="num" w:pos="-268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Avenir Next LT Pro" w:hAnsi="Avenir Next LT Pro" w:cs="Arial"/>
          <w:b/>
          <w:sz w:val="22"/>
          <w:szCs w:val="22"/>
          <w:lang w:val="sr-Latn-CS"/>
        </w:rPr>
      </w:pPr>
      <w:r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 xml:space="preserve">Opis </w:t>
      </w:r>
      <w:r w:rsidR="00AC6230" w:rsidRPr="00110C8E"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mogućih značajnih štetnih uticaja projekta na životnu sredinu</w:t>
      </w:r>
    </w:p>
    <w:p w14:paraId="631FDE57" w14:textId="77777777" w:rsidR="00033DAF" w:rsidRDefault="00091271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sz w:val="22"/>
          <w:szCs w:val="22"/>
          <w:lang w:val="sr-Latn-CS"/>
        </w:rPr>
        <w:t>U radu projekta</w:t>
      </w:r>
      <w:r w:rsidR="00AC6230" w:rsidRPr="00AC6230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 ne očekuju se značajni negativni uticaji na životnu sredinu.</w:t>
      </w:r>
    </w:p>
    <w:p w14:paraId="09FF9CCD" w14:textId="77777777" w:rsidR="00033DAF" w:rsidRPr="008B2B5A" w:rsidRDefault="00033DAF" w:rsidP="00033DAF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033DAF">
        <w:rPr>
          <w:rFonts w:ascii="Avenir Next LT Pro" w:hAnsi="Avenir Next LT Pro" w:cs="Arial"/>
          <w:bCs/>
          <w:sz w:val="22"/>
          <w:szCs w:val="22"/>
          <w:lang w:val="sr-Latn-CS"/>
        </w:rPr>
        <w:t>Tok</w:t>
      </w: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om eksploatacije objekta:</w:t>
      </w:r>
    </w:p>
    <w:p w14:paraId="2E2F0EE2" w14:textId="7FAD0561" w:rsidR="00033DAF" w:rsidRPr="008B2B5A" w:rsidRDefault="00033DAF" w:rsidP="00033DAF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lastRenderedPageBreak/>
        <w:t>ne dolazi do industrijske proizvodnje</w:t>
      </w:r>
    </w:p>
    <w:p w14:paraId="20ECAD73" w14:textId="74A12CC5" w:rsidR="00033DAF" w:rsidRPr="008B2B5A" w:rsidRDefault="00033DAF" w:rsidP="00033DAF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nema kontinuiranih emisija štetnih materija</w:t>
      </w:r>
      <w:r w:rsidRPr="008B2B5A">
        <w:rPr>
          <w:lang w:val="sr-Latn-CS"/>
        </w:rPr>
        <w:t xml:space="preserve"> u </w:t>
      </w: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vazduh, vodu ili zemljište</w:t>
      </w:r>
    </w:p>
    <w:p w14:paraId="1A89C3DE" w14:textId="77777777" w:rsidR="008B2B5A" w:rsidRDefault="008B2B5A" w:rsidP="008B2B5A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line="276" w:lineRule="auto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047762">
        <w:rPr>
          <w:rFonts w:ascii="Avenir Next LT Pro" w:hAnsi="Avenir Next LT Pro" w:cs="Arial"/>
          <w:bCs/>
          <w:sz w:val="22"/>
          <w:szCs w:val="22"/>
          <w:lang w:val="sr-Latn-CS"/>
        </w:rPr>
        <w:t>Objekat nije izvor nejonizujućeog zračenja.</w:t>
      </w:r>
    </w:p>
    <w:p w14:paraId="4E2FCAF4" w14:textId="77777777" w:rsidR="008B2B5A" w:rsidRDefault="008B2B5A" w:rsidP="00033DAF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</w:p>
    <w:p w14:paraId="65011932" w14:textId="77777777" w:rsidR="009E4C6F" w:rsidRDefault="009E4C6F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</w:p>
    <w:p w14:paraId="76306FC6" w14:textId="77777777" w:rsidR="00F01E4D" w:rsidRPr="00316857" w:rsidRDefault="00F01E4D" w:rsidP="005B7B5D">
      <w:pPr>
        <w:widowControl w:val="0"/>
        <w:numPr>
          <w:ilvl w:val="0"/>
          <w:numId w:val="3"/>
        </w:numPr>
        <w:shd w:val="clear" w:color="auto" w:fill="FFFFFF"/>
        <w:tabs>
          <w:tab w:val="clear" w:pos="1647"/>
          <w:tab w:val="num" w:pos="-2680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Avenir Next LT Pro" w:hAnsi="Avenir Next LT Pro" w:cs="Arial"/>
          <w:b/>
          <w:sz w:val="22"/>
          <w:szCs w:val="22"/>
          <w:lang w:val="sr-Latn-CS"/>
        </w:rPr>
      </w:pPr>
      <w:r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 xml:space="preserve">Opis mera </w:t>
      </w:r>
      <w:proofErr w:type="spellStart"/>
      <w:r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>predviđenih</w:t>
      </w:r>
      <w:proofErr w:type="spellEnd"/>
      <w:r>
        <w:rPr>
          <w:rFonts w:ascii="Avenir Next LT Pro" w:hAnsi="Avenir Next LT Pro" w:cs="Arial"/>
          <w:b/>
          <w:color w:val="000000"/>
          <w:sz w:val="22"/>
          <w:szCs w:val="22"/>
          <w:lang w:val="sr-Latn-CS"/>
        </w:rPr>
        <w:t xml:space="preserve"> u cilju sprečavanja, smanjenja i otklanjanja značajnih štetnih uticaja </w:t>
      </w:r>
    </w:p>
    <w:p w14:paraId="3B3CEC40" w14:textId="77777777" w:rsidR="00316857" w:rsidRPr="005E35D6" w:rsidRDefault="00316857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/>
          <w:sz w:val="22"/>
          <w:szCs w:val="22"/>
          <w:lang w:val="sr-Latn-CS"/>
        </w:rPr>
      </w:pPr>
    </w:p>
    <w:p w14:paraId="2B402DB1" w14:textId="77777777" w:rsidR="00585954" w:rsidRDefault="00F01E4D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sz w:val="22"/>
          <w:szCs w:val="22"/>
          <w:lang w:val="sr-Latn-CS"/>
        </w:rPr>
        <w:t>Radi sprečavanja i smanjenja mogućih negativnih uticaja na životnu sredinu, predviđena je primena sledećih mera:</w:t>
      </w:r>
    </w:p>
    <w:p w14:paraId="48E67020" w14:textId="77777777" w:rsidR="00033DAF" w:rsidRPr="008B2B5A" w:rsidRDefault="00033DAF" w:rsidP="00033DAF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R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RS"/>
        </w:rPr>
        <w:t>Tehničke mere:</w:t>
      </w:r>
    </w:p>
    <w:p w14:paraId="58259BFE" w14:textId="77777777" w:rsidR="00F01E4D" w:rsidRPr="008B2B5A" w:rsidRDefault="00F01E4D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izvođenje radova u skladu sa važećim tehničkim propisima i standardima;</w:t>
      </w:r>
    </w:p>
    <w:p w14:paraId="4D441A6D" w14:textId="5A38C266" w:rsidR="00F01E4D" w:rsidRPr="008B2B5A" w:rsidRDefault="00A70C6E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korišćenje podzemnih </w:t>
      </w:r>
      <w:proofErr w:type="spellStart"/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dvo</w:t>
      </w:r>
      <w:r w:rsidR="00F96274"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-</w:t>
      </w: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plaštnih</w:t>
      </w:r>
      <w:proofErr w:type="spellEnd"/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 rezervoara za skladištenje dizel goriva sa odgovarajućim sistemima zaštite</w:t>
      </w:r>
    </w:p>
    <w:p w14:paraId="235320BB" w14:textId="77777777" w:rsidR="00A70C6E" w:rsidRPr="008B2B5A" w:rsidRDefault="00A70C6E" w:rsidP="005B7B5D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redovno održavanje agregata, trafostanica, rashladnih sistema i druge tehničke opreme</w:t>
      </w:r>
      <w:r w:rsidR="008515C4" w:rsidRPr="008B2B5A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 u skladu sa propisima</w:t>
      </w:r>
    </w:p>
    <w:p w14:paraId="4A814C2B" w14:textId="5817D5F2" w:rsidR="00033DAF" w:rsidRPr="008B2B5A" w:rsidRDefault="00033DAF" w:rsidP="00033DAF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R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RS"/>
        </w:rPr>
        <w:t>Organizacione mere:</w:t>
      </w:r>
    </w:p>
    <w:p w14:paraId="7356CFF0" w14:textId="255FB04C" w:rsidR="00033DAF" w:rsidRPr="008B2B5A" w:rsidRDefault="00F96274" w:rsidP="00F9407F">
      <w:pPr>
        <w:pStyle w:val="ListParagraph"/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postupanje sa svim vrstama otpada u skladu sa važećim propisima iz oblasti upravljanja otpadom</w:t>
      </w:r>
      <w:r w:rsidR="00033DAF" w:rsidRPr="008B2B5A"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 </w:t>
      </w:r>
    </w:p>
    <w:p w14:paraId="64742811" w14:textId="0C7F3A55" w:rsidR="00033DAF" w:rsidRPr="008B2B5A" w:rsidRDefault="00033DAF" w:rsidP="00033DAF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obuka zaposlenih za postupanje u vanrednim situacijama</w:t>
      </w:r>
    </w:p>
    <w:p w14:paraId="7491406B" w14:textId="6C4C9524" w:rsidR="00033DAF" w:rsidRPr="008B2B5A" w:rsidRDefault="00033DAF" w:rsidP="00033DAF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R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RS"/>
        </w:rPr>
        <w:t>Mere zaštite od uticaja:</w:t>
      </w:r>
    </w:p>
    <w:p w14:paraId="13C57A8D" w14:textId="77777777" w:rsidR="00F96274" w:rsidRPr="008B2B5A" w:rsidRDefault="00F96274" w:rsidP="00F96274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kontrola nivoa buke u skladu sa propisanim graničnim vrednostima</w:t>
      </w:r>
    </w:p>
    <w:p w14:paraId="7A321F17" w14:textId="77777777" w:rsidR="00F96274" w:rsidRPr="008B2B5A" w:rsidRDefault="00F96274" w:rsidP="00F96274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primena svih mera zaštite od požara definisanih projektnom dokumentacijom i zakonskom regulativom</w:t>
      </w:r>
    </w:p>
    <w:p w14:paraId="17DB13A6" w14:textId="77777777" w:rsidR="00F96274" w:rsidRPr="008B2B5A" w:rsidRDefault="00F96274" w:rsidP="00F96274">
      <w:pPr>
        <w:widowControl w:val="0"/>
        <w:numPr>
          <w:ilvl w:val="0"/>
          <w:numId w:val="5"/>
        </w:numPr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 w:rsidRPr="008B2B5A">
        <w:rPr>
          <w:rFonts w:ascii="Avenir Next LT Pro" w:hAnsi="Avenir Next LT Pro" w:cs="Arial"/>
          <w:bCs/>
          <w:sz w:val="22"/>
          <w:szCs w:val="22"/>
          <w:lang w:val="sr-Latn-CS"/>
        </w:rPr>
        <w:t>primena mera za sprečavanje rasipanja goriva, ulja i drugih potencijalno zagađujućih materija tokom eksploatacije</w:t>
      </w:r>
    </w:p>
    <w:p w14:paraId="75056651" w14:textId="05369E16" w:rsidR="008828B3" w:rsidRDefault="00A70C6E" w:rsidP="005B7B5D">
      <w:pPr>
        <w:widowControl w:val="0"/>
        <w:shd w:val="clear" w:color="auto" w:fill="FFFFFF"/>
        <w:tabs>
          <w:tab w:val="num" w:pos="-2680"/>
        </w:tabs>
        <w:autoSpaceDE w:val="0"/>
        <w:autoSpaceDN w:val="0"/>
        <w:adjustRightInd w:val="0"/>
        <w:spacing w:after="120"/>
        <w:jc w:val="both"/>
        <w:rPr>
          <w:rFonts w:ascii="Avenir Next LT Pro" w:hAnsi="Avenir Next LT Pro" w:cs="Arial"/>
          <w:bCs/>
          <w:sz w:val="22"/>
          <w:szCs w:val="22"/>
          <w:lang w:val="sr-Latn-CS"/>
        </w:rPr>
      </w:pPr>
      <w:r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Na osnovu karakteristika projekta, planirane namene prostora, tehničkih rešenja i </w:t>
      </w:r>
      <w:r w:rsidR="00033DAF">
        <w:rPr>
          <w:rFonts w:ascii="Avenir Next LT Pro" w:hAnsi="Avenir Next LT Pro" w:cs="Arial"/>
          <w:bCs/>
          <w:sz w:val="22"/>
          <w:szCs w:val="22"/>
          <w:lang w:val="sr-Latn-CS"/>
        </w:rPr>
        <w:t>predviđanih</w:t>
      </w:r>
      <w:r>
        <w:rPr>
          <w:rFonts w:ascii="Avenir Next LT Pro" w:hAnsi="Avenir Next LT Pro" w:cs="Arial"/>
          <w:bCs/>
          <w:sz w:val="22"/>
          <w:szCs w:val="22"/>
          <w:lang w:val="sr-Latn-CS"/>
        </w:rPr>
        <w:t xml:space="preserve"> mera zaštite, ocenjuje se da realizacija i eksploatacija projekta neće izazvati negativne uticaje na životnu sredinu.</w:t>
      </w:r>
    </w:p>
    <w:p w14:paraId="4A0B16E1" w14:textId="553F4207" w:rsidR="00216B6F" w:rsidRPr="00216B6F" w:rsidRDefault="00216B6F" w:rsidP="005E4B47">
      <w:pPr>
        <w:ind w:left="5664" w:firstLine="708"/>
        <w:rPr>
          <w:rFonts w:ascii="Avenir Next LT Pro" w:hAnsi="Avenir Next LT Pro" w:cs="Arial"/>
          <w:sz w:val="22"/>
          <w:szCs w:val="22"/>
          <w:lang w:val="sr-Latn-CS"/>
        </w:rPr>
      </w:pPr>
    </w:p>
    <w:p w14:paraId="1D031E23" w14:textId="5D240AE8" w:rsidR="00216B6F" w:rsidRPr="00216B6F" w:rsidRDefault="00216B6F" w:rsidP="008E3BA1">
      <w:pPr>
        <w:shd w:val="clear" w:color="auto" w:fill="FFFFFF"/>
        <w:tabs>
          <w:tab w:val="left" w:pos="5924"/>
        </w:tabs>
        <w:rPr>
          <w:rFonts w:ascii="Avenir Next LT Pro" w:hAnsi="Avenir Next LT Pro" w:cs="Arial"/>
          <w:sz w:val="22"/>
          <w:szCs w:val="22"/>
          <w:lang w:val="sr-Latn-CS"/>
        </w:rPr>
      </w:pPr>
      <w:r>
        <w:rPr>
          <w:rFonts w:ascii="Avenir Next LT Pro" w:hAnsi="Avenir Next LT Pro" w:cs="Arial"/>
          <w:sz w:val="22"/>
          <w:szCs w:val="22"/>
          <w:lang w:val="sr-Latn-CS"/>
        </w:rPr>
        <w:tab/>
      </w:r>
      <w:r w:rsidR="00D36475" w:rsidRPr="00D36475">
        <w:rPr>
          <w:rFonts w:ascii="Avenir Next LT Pro" w:hAnsi="Avenir Next LT Pro" w:cs="Arial"/>
          <w:noProof/>
          <w:sz w:val="22"/>
          <w:szCs w:val="22"/>
          <w:lang w:val="sr-Latn-CS"/>
        </w:rPr>
        <w:drawing>
          <wp:inline distT="0" distB="0" distL="0" distR="0" wp14:anchorId="357BDE48" wp14:editId="1044AB1B">
            <wp:extent cx="3054350" cy="1495359"/>
            <wp:effectExtent l="0" t="0" r="0" b="0"/>
            <wp:docPr id="244979694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79694" name="Picture 1" descr="A close-up of a documen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6205" cy="150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6B6F" w:rsidRPr="00216B6F" w:rsidSect="008B0862">
      <w:headerReference w:type="default" r:id="rId14"/>
      <w:footerReference w:type="even" r:id="rId15"/>
      <w:footerReference w:type="default" r:id="rId16"/>
      <w:pgSz w:w="11906" w:h="16838" w:code="9"/>
      <w:pgMar w:top="680" w:right="567" w:bottom="714" w:left="1985" w:header="510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1462" w14:textId="77777777" w:rsidR="006F20D7" w:rsidRDefault="006F20D7">
      <w:r>
        <w:separator/>
      </w:r>
    </w:p>
  </w:endnote>
  <w:endnote w:type="continuationSeparator" w:id="0">
    <w:p w14:paraId="2B483EF4" w14:textId="77777777" w:rsidR="006F20D7" w:rsidRDefault="006F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0773" w14:textId="77777777" w:rsidR="006A4768" w:rsidRDefault="006A4768" w:rsidP="00BC31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9692AE" w14:textId="77777777" w:rsidR="006A4768" w:rsidRDefault="006A4768" w:rsidP="00BC390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5F43" w14:textId="77777777" w:rsidR="006A4768" w:rsidRPr="00BC3170" w:rsidRDefault="006A4768" w:rsidP="001859D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BCEB8" w14:textId="77777777" w:rsidR="006F20D7" w:rsidRDefault="006F20D7">
      <w:r>
        <w:separator/>
      </w:r>
    </w:p>
  </w:footnote>
  <w:footnote w:type="continuationSeparator" w:id="0">
    <w:p w14:paraId="6E95EDA3" w14:textId="77777777" w:rsidR="006F20D7" w:rsidRDefault="006F2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CBFF" w14:textId="6E0AB3C7" w:rsidR="00673582" w:rsidRDefault="006E08DD" w:rsidP="00E122E9">
    <w:pPr>
      <w:pStyle w:val="Header"/>
      <w:rPr>
        <w:sz w:val="8"/>
        <w:szCs w:val="8"/>
      </w:rPr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0DFD26C" wp14:editId="4EBE1A7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685"/>
              <wp:effectExtent l="0" t="0" r="2540" b="2540"/>
              <wp:wrapNone/>
              <wp:docPr id="322904568" name="MSIPCMeef74c61affaa8d4b10f5d8d" descr="{&quot;HashCode&quot;:2118360311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6D8D1" w14:textId="77777777" w:rsidR="00925133" w:rsidRPr="00925133" w:rsidRDefault="00925133" w:rsidP="0092513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925133">
                            <w:rPr>
                              <w:rFonts w:ascii="Calibri" w:hAnsi="Calibri" w:cs="Calibri"/>
                              <w:color w:val="000000"/>
                            </w:rPr>
                            <w:t>Open</w:t>
                          </w:r>
                        </w:p>
                      </w:txbxContent>
                    </wps:txbx>
                    <wps:bodyPr rot="0" vert="horz" wrap="square" lIns="91440" tIns="0" rIns="254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DFD26C" id="_x0000_t202" coordsize="21600,21600" o:spt="202" path="m,l,21600r21600,l21600,xe">
              <v:stroke joinstyle="miter"/>
              <v:path gradientshapeok="t" o:connecttype="rect"/>
            </v:shapetype>
            <v:shape id="MSIPCMeef74c61affaa8d4b10f5d8d" o:spid="_x0000_s1026" type="#_x0000_t202" alt="{&quot;HashCode&quot;:2118360311,&quot;Height&quot;:841.0,&quot;Width&quot;:595.0,&quot;Placement&quot;:&quot;Header&quot;,&quot;Index&quot;:&quot;Primary&quot;,&quot;Section&quot;:1,&quot;Top&quot;:0.0,&quot;Left&quot;:0.0}" style="position:absolute;margin-left:0;margin-top:15pt;width:595.3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Z9O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" o:allowincell="f" filled="f" stroked="f">
              <v:textbox inset=",0,20pt,0">
                <w:txbxContent>
                  <w:p w14:paraId="2F16D8D1" w14:textId="77777777" w:rsidR="00925133" w:rsidRPr="00925133" w:rsidRDefault="00925133" w:rsidP="00925133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925133">
                      <w:rPr>
                        <w:rFonts w:ascii="Calibri" w:hAnsi="Calibri" w:cs="Calibri"/>
                        <w:color w:val="000000"/>
                      </w:rPr>
                      <w:t>Open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D22C4EA" w14:textId="6C0AF784" w:rsidR="00673582" w:rsidRDefault="006E08DD" w:rsidP="00E122E9">
    <w:pPr>
      <w:pStyle w:val="Header"/>
      <w:rPr>
        <w:sz w:val="8"/>
        <w:szCs w:val="8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35984EE1" wp14:editId="1449BE01">
          <wp:simplePos x="0" y="0"/>
          <wp:positionH relativeFrom="page">
            <wp:posOffset>1190625</wp:posOffset>
          </wp:positionH>
          <wp:positionV relativeFrom="paragraph">
            <wp:posOffset>78740</wp:posOffset>
          </wp:positionV>
          <wp:extent cx="1894205" cy="523875"/>
          <wp:effectExtent l="0" t="0" r="0" b="0"/>
          <wp:wrapTight wrapText="bothSides">
            <wp:wrapPolygon edited="0">
              <wp:start x="5431" y="7069"/>
              <wp:lineTo x="2172" y="8640"/>
              <wp:lineTo x="2172" y="18851"/>
              <wp:lineTo x="5214" y="20422"/>
              <wp:lineTo x="19334" y="20422"/>
              <wp:lineTo x="19334" y="7069"/>
              <wp:lineTo x="5431" y="7069"/>
            </wp:wrapPolygon>
          </wp:wrapTight>
          <wp:docPr id="24" name="Obrázek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79"/>
                  <a:stretch>
                    <a:fillRect/>
                  </a:stretch>
                </pic:blipFill>
                <pic:spPr bwMode="auto">
                  <a:xfrm>
                    <a:off x="0" y="0"/>
                    <a:ext cx="189420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FF3A" w14:textId="77777777" w:rsidR="00673582" w:rsidRDefault="00673582" w:rsidP="00E122E9">
    <w:pPr>
      <w:pStyle w:val="Header"/>
      <w:rPr>
        <w:sz w:val="8"/>
        <w:szCs w:val="8"/>
      </w:rPr>
    </w:pPr>
  </w:p>
  <w:p w14:paraId="5A943314" w14:textId="77777777" w:rsidR="00673582" w:rsidRDefault="00673582" w:rsidP="00E122E9">
    <w:pPr>
      <w:pStyle w:val="Header"/>
      <w:rPr>
        <w:sz w:val="8"/>
        <w:szCs w:val="8"/>
      </w:rPr>
    </w:pPr>
  </w:p>
  <w:p w14:paraId="02786C66" w14:textId="77777777" w:rsidR="00673582" w:rsidRDefault="00673582" w:rsidP="00E122E9">
    <w:pPr>
      <w:pStyle w:val="Header"/>
      <w:rPr>
        <w:sz w:val="8"/>
        <w:szCs w:val="8"/>
      </w:rPr>
    </w:pPr>
  </w:p>
  <w:p w14:paraId="60E32845" w14:textId="77777777" w:rsidR="006A4768" w:rsidRDefault="006A4768" w:rsidP="00E122E9">
    <w:pPr>
      <w:pStyle w:val="Header"/>
      <w:rPr>
        <w:sz w:val="8"/>
        <w:szCs w:val="8"/>
      </w:rPr>
    </w:pPr>
  </w:p>
  <w:p w14:paraId="058CC726" w14:textId="77777777" w:rsidR="006A4768" w:rsidRPr="006527A4" w:rsidRDefault="004C46FC" w:rsidP="00E122E9">
    <w:pPr>
      <w:pStyle w:val="Header"/>
      <w:rPr>
        <w:i/>
        <w:szCs w:val="20"/>
      </w:rPr>
    </w:pPr>
    <w:r>
      <w:rPr>
        <w:sz w:val="8"/>
        <w:szCs w:val="8"/>
      </w:rPr>
      <w:tab/>
      <w:t xml:space="preserve">                            </w:t>
    </w:r>
    <w:r w:rsidR="00883194">
      <w:rPr>
        <w:sz w:val="8"/>
        <w:szCs w:val="8"/>
      </w:rPr>
      <w:tab/>
    </w:r>
  </w:p>
  <w:p w14:paraId="04C0AC63" w14:textId="77777777" w:rsidR="006A4768" w:rsidRDefault="006A4768" w:rsidP="00E122E9">
    <w:pPr>
      <w:pStyle w:val="Header"/>
      <w:rPr>
        <w:sz w:val="8"/>
        <w:szCs w:val="8"/>
      </w:rPr>
    </w:pPr>
  </w:p>
  <w:p w14:paraId="6EA2128D" w14:textId="77777777" w:rsidR="006A4768" w:rsidRDefault="004C46FC" w:rsidP="00E122E9">
    <w:pPr>
      <w:pStyle w:val="Header"/>
      <w:rPr>
        <w:szCs w:val="20"/>
      </w:rPr>
    </w:pPr>
    <w:r>
      <w:rPr>
        <w:sz w:val="8"/>
        <w:szCs w:val="8"/>
      </w:rPr>
      <w:tab/>
    </w:r>
    <w:r>
      <w:rPr>
        <w:sz w:val="8"/>
        <w:szCs w:val="8"/>
      </w:rPr>
      <w:tab/>
    </w:r>
    <w:r>
      <w:rPr>
        <w:sz w:val="8"/>
        <w:szCs w:val="8"/>
      </w:rPr>
      <w:tab/>
    </w:r>
    <w:r>
      <w:rPr>
        <w:sz w:val="8"/>
        <w:szCs w:val="8"/>
      </w:rPr>
      <w:tab/>
    </w:r>
    <w:r>
      <w:rPr>
        <w:sz w:val="8"/>
        <w:szCs w:val="8"/>
      </w:rPr>
      <w:tab/>
    </w:r>
    <w:proofErr w:type="spellStart"/>
    <w:r w:rsidRPr="004C46FC">
      <w:rPr>
        <w:szCs w:val="20"/>
      </w:rPr>
      <w:t>Prilog</w:t>
    </w:r>
    <w:proofErr w:type="spellEnd"/>
    <w:r w:rsidRPr="004C46FC">
      <w:rPr>
        <w:szCs w:val="20"/>
      </w:rPr>
      <w:t xml:space="preserve"> 1</w:t>
    </w:r>
  </w:p>
  <w:p w14:paraId="5AAE9B17" w14:textId="77777777" w:rsidR="004C46FC" w:rsidRPr="004C46FC" w:rsidRDefault="004C46FC" w:rsidP="00E122E9">
    <w:pPr>
      <w:pStyle w:val="Header"/>
      <w:rPr>
        <w:szCs w:val="20"/>
      </w:rPr>
    </w:pPr>
    <w:r>
      <w:rPr>
        <w:szCs w:val="20"/>
      </w:rPr>
      <w:t>_________________________________________________________________________</w:t>
    </w:r>
  </w:p>
  <w:p w14:paraId="7780A289" w14:textId="77777777" w:rsidR="006A4768" w:rsidRDefault="006A4768" w:rsidP="00E122E9">
    <w:pPr>
      <w:pStyle w:val="Header"/>
      <w:rPr>
        <w:sz w:val="8"/>
        <w:szCs w:val="8"/>
      </w:rPr>
    </w:pPr>
  </w:p>
  <w:p w14:paraId="1CE8522A" w14:textId="77777777" w:rsidR="006A4768" w:rsidRPr="00E122E9" w:rsidRDefault="006A4768" w:rsidP="00E122E9">
    <w:pPr>
      <w:pStyle w:val="Head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10D"/>
    <w:multiLevelType w:val="hybridMultilevel"/>
    <w:tmpl w:val="8D7A131E"/>
    <w:lvl w:ilvl="0" w:tplc="C79092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53D4F"/>
    <w:multiLevelType w:val="hybridMultilevel"/>
    <w:tmpl w:val="83BC25B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134A"/>
    <w:multiLevelType w:val="hybridMultilevel"/>
    <w:tmpl w:val="8A8E14CA"/>
    <w:lvl w:ilvl="0" w:tplc="7CFA088A">
      <w:start w:val="1"/>
      <w:numFmt w:val="decimal"/>
      <w:lvlText w:val="%1."/>
      <w:lvlJc w:val="left"/>
      <w:pPr>
        <w:tabs>
          <w:tab w:val="num" w:pos="1647"/>
        </w:tabs>
        <w:ind w:left="1647" w:hanging="567"/>
      </w:pPr>
      <w:rPr>
        <w:rFonts w:hint="default"/>
        <w:b/>
      </w:rPr>
    </w:lvl>
    <w:lvl w:ilvl="1" w:tplc="10B0804C">
      <w:start w:val="1"/>
      <w:numFmt w:val="lowerLetter"/>
      <w:lvlText w:val="%2."/>
      <w:lvlJc w:val="left"/>
      <w:pPr>
        <w:tabs>
          <w:tab w:val="num" w:pos="494"/>
        </w:tabs>
        <w:ind w:left="494" w:hanging="360"/>
      </w:pPr>
      <w:rPr>
        <w:rFonts w:ascii="Arial" w:hAnsi="Arial" w:cs="Arial" w:hint="default"/>
        <w:b/>
      </w:rPr>
    </w:lvl>
    <w:lvl w:ilvl="2" w:tplc="D74C37B6">
      <w:start w:val="2"/>
      <w:numFmt w:val="decimal"/>
      <w:lvlText w:val="%3-"/>
      <w:lvlJc w:val="left"/>
      <w:pPr>
        <w:tabs>
          <w:tab w:val="num" w:pos="2610"/>
        </w:tabs>
        <w:ind w:left="2610" w:hanging="630"/>
      </w:pPr>
      <w:rPr>
        <w:rFonts w:hint="default"/>
        <w:color w:val="000000"/>
      </w:rPr>
    </w:lvl>
    <w:lvl w:ilvl="3" w:tplc="DC3EE19E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color w:val="00000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A112E5"/>
    <w:multiLevelType w:val="hybridMultilevel"/>
    <w:tmpl w:val="2ECCC10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DF7820"/>
    <w:multiLevelType w:val="hybridMultilevel"/>
    <w:tmpl w:val="65B64FB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433E5"/>
    <w:multiLevelType w:val="hybridMultilevel"/>
    <w:tmpl w:val="F726128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787406">
    <w:abstractNumId w:val="3"/>
  </w:num>
  <w:num w:numId="2" w16cid:durableId="2038192254">
    <w:abstractNumId w:val="0"/>
  </w:num>
  <w:num w:numId="3" w16cid:durableId="525292216">
    <w:abstractNumId w:val="2"/>
  </w:num>
  <w:num w:numId="4" w16cid:durableId="404258085">
    <w:abstractNumId w:val="5"/>
  </w:num>
  <w:num w:numId="5" w16cid:durableId="1354962606">
    <w:abstractNumId w:val="1"/>
  </w:num>
  <w:num w:numId="6" w16cid:durableId="365181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56C"/>
    <w:rsid w:val="00000598"/>
    <w:rsid w:val="000005DD"/>
    <w:rsid w:val="00004BC0"/>
    <w:rsid w:val="0001367E"/>
    <w:rsid w:val="00013825"/>
    <w:rsid w:val="000146D8"/>
    <w:rsid w:val="0001548C"/>
    <w:rsid w:val="000156C3"/>
    <w:rsid w:val="00015D40"/>
    <w:rsid w:val="00022F06"/>
    <w:rsid w:val="00027CBC"/>
    <w:rsid w:val="00033A52"/>
    <w:rsid w:val="00033DAF"/>
    <w:rsid w:val="00035B07"/>
    <w:rsid w:val="00037D03"/>
    <w:rsid w:val="00064D9E"/>
    <w:rsid w:val="0008473C"/>
    <w:rsid w:val="000902A1"/>
    <w:rsid w:val="00091271"/>
    <w:rsid w:val="000A14A4"/>
    <w:rsid w:val="000A157A"/>
    <w:rsid w:val="000B4252"/>
    <w:rsid w:val="000C3E37"/>
    <w:rsid w:val="000C5EB2"/>
    <w:rsid w:val="000D114F"/>
    <w:rsid w:val="000D2B36"/>
    <w:rsid w:val="000D7DC8"/>
    <w:rsid w:val="000E054A"/>
    <w:rsid w:val="000E09A1"/>
    <w:rsid w:val="000E71DE"/>
    <w:rsid w:val="000F04BE"/>
    <w:rsid w:val="000F4A24"/>
    <w:rsid w:val="000F5581"/>
    <w:rsid w:val="00104F0A"/>
    <w:rsid w:val="00110C8E"/>
    <w:rsid w:val="0011148E"/>
    <w:rsid w:val="00116D0B"/>
    <w:rsid w:val="00117E6C"/>
    <w:rsid w:val="00121511"/>
    <w:rsid w:val="001267C4"/>
    <w:rsid w:val="00137C69"/>
    <w:rsid w:val="00153515"/>
    <w:rsid w:val="00154B62"/>
    <w:rsid w:val="00174279"/>
    <w:rsid w:val="001859D7"/>
    <w:rsid w:val="00192C96"/>
    <w:rsid w:val="001A36FA"/>
    <w:rsid w:val="001A45FC"/>
    <w:rsid w:val="001B19FC"/>
    <w:rsid w:val="001B69C0"/>
    <w:rsid w:val="001C25A3"/>
    <w:rsid w:val="001C6B35"/>
    <w:rsid w:val="001F1CCA"/>
    <w:rsid w:val="001F27E4"/>
    <w:rsid w:val="0020216B"/>
    <w:rsid w:val="00210B09"/>
    <w:rsid w:val="00216B6F"/>
    <w:rsid w:val="00221040"/>
    <w:rsid w:val="002360F0"/>
    <w:rsid w:val="00237B2A"/>
    <w:rsid w:val="002446CE"/>
    <w:rsid w:val="00247594"/>
    <w:rsid w:val="0025155A"/>
    <w:rsid w:val="00267286"/>
    <w:rsid w:val="00277668"/>
    <w:rsid w:val="00281094"/>
    <w:rsid w:val="00296CAD"/>
    <w:rsid w:val="002B779A"/>
    <w:rsid w:val="002C20E8"/>
    <w:rsid w:val="002C2C3E"/>
    <w:rsid w:val="002C2CEF"/>
    <w:rsid w:val="002D3DCD"/>
    <w:rsid w:val="002D5DD4"/>
    <w:rsid w:val="002E48A1"/>
    <w:rsid w:val="002F0F51"/>
    <w:rsid w:val="00305F5F"/>
    <w:rsid w:val="00307853"/>
    <w:rsid w:val="0031533D"/>
    <w:rsid w:val="00316857"/>
    <w:rsid w:val="00316BAB"/>
    <w:rsid w:val="00323167"/>
    <w:rsid w:val="003255C4"/>
    <w:rsid w:val="00330710"/>
    <w:rsid w:val="0036156A"/>
    <w:rsid w:val="00374658"/>
    <w:rsid w:val="0037543A"/>
    <w:rsid w:val="00384549"/>
    <w:rsid w:val="003851BD"/>
    <w:rsid w:val="003948F9"/>
    <w:rsid w:val="003A26FE"/>
    <w:rsid w:val="003B7A24"/>
    <w:rsid w:val="003C7CCD"/>
    <w:rsid w:val="003D1A51"/>
    <w:rsid w:val="003E11F1"/>
    <w:rsid w:val="003F0824"/>
    <w:rsid w:val="003F0C72"/>
    <w:rsid w:val="003F1B1F"/>
    <w:rsid w:val="0042371E"/>
    <w:rsid w:val="00426F59"/>
    <w:rsid w:val="00430BEB"/>
    <w:rsid w:val="00455DD7"/>
    <w:rsid w:val="00461A96"/>
    <w:rsid w:val="00484A4E"/>
    <w:rsid w:val="0049491F"/>
    <w:rsid w:val="004A01CA"/>
    <w:rsid w:val="004A03CE"/>
    <w:rsid w:val="004A6E3A"/>
    <w:rsid w:val="004B5612"/>
    <w:rsid w:val="004B5A10"/>
    <w:rsid w:val="004C46FC"/>
    <w:rsid w:val="004D1461"/>
    <w:rsid w:val="004D7838"/>
    <w:rsid w:val="004F192F"/>
    <w:rsid w:val="004F7711"/>
    <w:rsid w:val="00502B19"/>
    <w:rsid w:val="00505543"/>
    <w:rsid w:val="00506D30"/>
    <w:rsid w:val="005227BB"/>
    <w:rsid w:val="00527D93"/>
    <w:rsid w:val="005410C1"/>
    <w:rsid w:val="00544044"/>
    <w:rsid w:val="0054623D"/>
    <w:rsid w:val="00550218"/>
    <w:rsid w:val="0056189C"/>
    <w:rsid w:val="00573296"/>
    <w:rsid w:val="005839B3"/>
    <w:rsid w:val="00583F96"/>
    <w:rsid w:val="00585954"/>
    <w:rsid w:val="00585E24"/>
    <w:rsid w:val="00595D37"/>
    <w:rsid w:val="005A36C6"/>
    <w:rsid w:val="005B088D"/>
    <w:rsid w:val="005B2F0C"/>
    <w:rsid w:val="005B4D49"/>
    <w:rsid w:val="005B7B5D"/>
    <w:rsid w:val="005D0492"/>
    <w:rsid w:val="005E1CDB"/>
    <w:rsid w:val="005E35D6"/>
    <w:rsid w:val="005E4B47"/>
    <w:rsid w:val="005E591E"/>
    <w:rsid w:val="005F42BC"/>
    <w:rsid w:val="005F5EE5"/>
    <w:rsid w:val="005F7D5F"/>
    <w:rsid w:val="0061256C"/>
    <w:rsid w:val="00622125"/>
    <w:rsid w:val="00622461"/>
    <w:rsid w:val="006326DE"/>
    <w:rsid w:val="00637E42"/>
    <w:rsid w:val="006527A4"/>
    <w:rsid w:val="006605F6"/>
    <w:rsid w:val="00672185"/>
    <w:rsid w:val="00673582"/>
    <w:rsid w:val="00686C14"/>
    <w:rsid w:val="00694C83"/>
    <w:rsid w:val="006A051A"/>
    <w:rsid w:val="006A4768"/>
    <w:rsid w:val="006B17ED"/>
    <w:rsid w:val="006D6E4D"/>
    <w:rsid w:val="006D7A24"/>
    <w:rsid w:val="006D7A8C"/>
    <w:rsid w:val="006E08DD"/>
    <w:rsid w:val="006F1E68"/>
    <w:rsid w:val="006F20D7"/>
    <w:rsid w:val="00701EE5"/>
    <w:rsid w:val="00713253"/>
    <w:rsid w:val="00715EE0"/>
    <w:rsid w:val="00727B45"/>
    <w:rsid w:val="00735BFF"/>
    <w:rsid w:val="0074028C"/>
    <w:rsid w:val="00742BD7"/>
    <w:rsid w:val="007518D1"/>
    <w:rsid w:val="00754A6F"/>
    <w:rsid w:val="00755DD1"/>
    <w:rsid w:val="00775376"/>
    <w:rsid w:val="00775380"/>
    <w:rsid w:val="0078555A"/>
    <w:rsid w:val="007935A5"/>
    <w:rsid w:val="00794569"/>
    <w:rsid w:val="007A71C5"/>
    <w:rsid w:val="007B2011"/>
    <w:rsid w:val="007B2ABA"/>
    <w:rsid w:val="007B3D53"/>
    <w:rsid w:val="007B4785"/>
    <w:rsid w:val="007C0CFC"/>
    <w:rsid w:val="007C33AB"/>
    <w:rsid w:val="007D0637"/>
    <w:rsid w:val="007D41F6"/>
    <w:rsid w:val="007F2AD8"/>
    <w:rsid w:val="00802C94"/>
    <w:rsid w:val="00810C7D"/>
    <w:rsid w:val="008333E0"/>
    <w:rsid w:val="008342E6"/>
    <w:rsid w:val="00842DE0"/>
    <w:rsid w:val="00843154"/>
    <w:rsid w:val="008434C3"/>
    <w:rsid w:val="0084544B"/>
    <w:rsid w:val="00846539"/>
    <w:rsid w:val="008515C4"/>
    <w:rsid w:val="00853CD2"/>
    <w:rsid w:val="008563AD"/>
    <w:rsid w:val="00861F5D"/>
    <w:rsid w:val="00865C17"/>
    <w:rsid w:val="00873C1E"/>
    <w:rsid w:val="00881AFB"/>
    <w:rsid w:val="008828B3"/>
    <w:rsid w:val="00882E97"/>
    <w:rsid w:val="00883194"/>
    <w:rsid w:val="0089444A"/>
    <w:rsid w:val="008977E0"/>
    <w:rsid w:val="008B0862"/>
    <w:rsid w:val="008B2B5A"/>
    <w:rsid w:val="008B40B6"/>
    <w:rsid w:val="008B70DD"/>
    <w:rsid w:val="008D5C06"/>
    <w:rsid w:val="008E1FFA"/>
    <w:rsid w:val="008E3BA1"/>
    <w:rsid w:val="009005BC"/>
    <w:rsid w:val="00925133"/>
    <w:rsid w:val="00933225"/>
    <w:rsid w:val="00933387"/>
    <w:rsid w:val="00944ECE"/>
    <w:rsid w:val="00947A8D"/>
    <w:rsid w:val="009501FC"/>
    <w:rsid w:val="009542B5"/>
    <w:rsid w:val="0095708A"/>
    <w:rsid w:val="0096519F"/>
    <w:rsid w:val="0097536A"/>
    <w:rsid w:val="009809BE"/>
    <w:rsid w:val="00985B57"/>
    <w:rsid w:val="009869A1"/>
    <w:rsid w:val="00995822"/>
    <w:rsid w:val="00997784"/>
    <w:rsid w:val="009A15AE"/>
    <w:rsid w:val="009A4D07"/>
    <w:rsid w:val="009B0F82"/>
    <w:rsid w:val="009B3711"/>
    <w:rsid w:val="009B639A"/>
    <w:rsid w:val="009B769A"/>
    <w:rsid w:val="009C5D56"/>
    <w:rsid w:val="009D5922"/>
    <w:rsid w:val="009D620F"/>
    <w:rsid w:val="009D70B6"/>
    <w:rsid w:val="009E24CE"/>
    <w:rsid w:val="009E4C6F"/>
    <w:rsid w:val="009E5BD4"/>
    <w:rsid w:val="009F197A"/>
    <w:rsid w:val="00A1020D"/>
    <w:rsid w:val="00A11359"/>
    <w:rsid w:val="00A1694F"/>
    <w:rsid w:val="00A22AC2"/>
    <w:rsid w:val="00A34459"/>
    <w:rsid w:val="00A43596"/>
    <w:rsid w:val="00A45831"/>
    <w:rsid w:val="00A61F3E"/>
    <w:rsid w:val="00A70C6E"/>
    <w:rsid w:val="00A84764"/>
    <w:rsid w:val="00A865D5"/>
    <w:rsid w:val="00AA1741"/>
    <w:rsid w:val="00AB4CEA"/>
    <w:rsid w:val="00AC6230"/>
    <w:rsid w:val="00AC6278"/>
    <w:rsid w:val="00AD1754"/>
    <w:rsid w:val="00AD51BD"/>
    <w:rsid w:val="00AE5921"/>
    <w:rsid w:val="00AF64B8"/>
    <w:rsid w:val="00AF72FF"/>
    <w:rsid w:val="00B024B6"/>
    <w:rsid w:val="00B14EAE"/>
    <w:rsid w:val="00B442A4"/>
    <w:rsid w:val="00B60589"/>
    <w:rsid w:val="00B70996"/>
    <w:rsid w:val="00B775C9"/>
    <w:rsid w:val="00B77F0C"/>
    <w:rsid w:val="00B856FD"/>
    <w:rsid w:val="00B86824"/>
    <w:rsid w:val="00B91557"/>
    <w:rsid w:val="00BB5631"/>
    <w:rsid w:val="00BC3170"/>
    <w:rsid w:val="00BC390A"/>
    <w:rsid w:val="00BD4189"/>
    <w:rsid w:val="00C00416"/>
    <w:rsid w:val="00C13344"/>
    <w:rsid w:val="00C16A25"/>
    <w:rsid w:val="00C17E8C"/>
    <w:rsid w:val="00C5418C"/>
    <w:rsid w:val="00C62F25"/>
    <w:rsid w:val="00C73DD3"/>
    <w:rsid w:val="00C760C9"/>
    <w:rsid w:val="00C83590"/>
    <w:rsid w:val="00C853D9"/>
    <w:rsid w:val="00C931F0"/>
    <w:rsid w:val="00C95E1C"/>
    <w:rsid w:val="00CA6BEF"/>
    <w:rsid w:val="00CA7FC0"/>
    <w:rsid w:val="00CB2BF0"/>
    <w:rsid w:val="00CB6807"/>
    <w:rsid w:val="00CB7005"/>
    <w:rsid w:val="00CC6567"/>
    <w:rsid w:val="00CD5D0F"/>
    <w:rsid w:val="00CE1FEC"/>
    <w:rsid w:val="00CF601A"/>
    <w:rsid w:val="00CF7B0D"/>
    <w:rsid w:val="00D06B3E"/>
    <w:rsid w:val="00D13D44"/>
    <w:rsid w:val="00D23CFC"/>
    <w:rsid w:val="00D263C3"/>
    <w:rsid w:val="00D27540"/>
    <w:rsid w:val="00D27F95"/>
    <w:rsid w:val="00D27FF0"/>
    <w:rsid w:val="00D36475"/>
    <w:rsid w:val="00D4105A"/>
    <w:rsid w:val="00D4120A"/>
    <w:rsid w:val="00D434BE"/>
    <w:rsid w:val="00D47AA8"/>
    <w:rsid w:val="00D51817"/>
    <w:rsid w:val="00D564BE"/>
    <w:rsid w:val="00D56A34"/>
    <w:rsid w:val="00D73DDC"/>
    <w:rsid w:val="00D80981"/>
    <w:rsid w:val="00D87AE4"/>
    <w:rsid w:val="00D9308D"/>
    <w:rsid w:val="00DA4D63"/>
    <w:rsid w:val="00DB6D4B"/>
    <w:rsid w:val="00DE0981"/>
    <w:rsid w:val="00DE424E"/>
    <w:rsid w:val="00DE6C34"/>
    <w:rsid w:val="00DF1112"/>
    <w:rsid w:val="00E0482F"/>
    <w:rsid w:val="00E10492"/>
    <w:rsid w:val="00E122E9"/>
    <w:rsid w:val="00E13D1C"/>
    <w:rsid w:val="00E20F7E"/>
    <w:rsid w:val="00E25DFC"/>
    <w:rsid w:val="00E3435C"/>
    <w:rsid w:val="00E367A7"/>
    <w:rsid w:val="00E4231E"/>
    <w:rsid w:val="00E51716"/>
    <w:rsid w:val="00E536DB"/>
    <w:rsid w:val="00E633FC"/>
    <w:rsid w:val="00E724C2"/>
    <w:rsid w:val="00E82B27"/>
    <w:rsid w:val="00EB167A"/>
    <w:rsid w:val="00EB2CDB"/>
    <w:rsid w:val="00EC0A47"/>
    <w:rsid w:val="00EF07BB"/>
    <w:rsid w:val="00EF3567"/>
    <w:rsid w:val="00EF7054"/>
    <w:rsid w:val="00F01CC6"/>
    <w:rsid w:val="00F01E4D"/>
    <w:rsid w:val="00F170B9"/>
    <w:rsid w:val="00F17557"/>
    <w:rsid w:val="00F235B5"/>
    <w:rsid w:val="00F24587"/>
    <w:rsid w:val="00F26BF9"/>
    <w:rsid w:val="00F56959"/>
    <w:rsid w:val="00F63921"/>
    <w:rsid w:val="00F67BD0"/>
    <w:rsid w:val="00F7034D"/>
    <w:rsid w:val="00F75DBF"/>
    <w:rsid w:val="00F92368"/>
    <w:rsid w:val="00F94265"/>
    <w:rsid w:val="00F96274"/>
    <w:rsid w:val="00FA6AA3"/>
    <w:rsid w:val="00FB7367"/>
    <w:rsid w:val="00FB7C86"/>
    <w:rsid w:val="00FB7E1D"/>
    <w:rsid w:val="00FE734B"/>
    <w:rsid w:val="00FF4247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78C9B"/>
  <w15:chartTrackingRefBased/>
  <w15:docId w15:val="{3155F353-8133-4A3A-88E5-4C978AEB5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23D"/>
    <w:rPr>
      <w:rFonts w:ascii="Verdana" w:hAnsi="Verdana"/>
      <w:szCs w:val="24"/>
      <w:lang w:val="en-US" w:eastAsia="sr-Latn-CS"/>
    </w:rPr>
  </w:style>
  <w:style w:type="paragraph" w:styleId="Heading1">
    <w:name w:val="heading 1"/>
    <w:basedOn w:val="Normal"/>
    <w:next w:val="Normal"/>
    <w:qFormat/>
    <w:rsid w:val="009A15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11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F11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4A2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F4A24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F4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oftheletter">
    <w:name w:val="Body of the letter"/>
    <w:rsid w:val="008434C3"/>
    <w:pPr>
      <w:spacing w:line="280" w:lineRule="atLeast"/>
      <w:ind w:right="1418"/>
      <w:jc w:val="both"/>
    </w:pPr>
    <w:rPr>
      <w:rFonts w:ascii="Verdana" w:hAnsi="Verdana"/>
      <w:lang w:val="sr-Latn-CS" w:eastAsia="sr-Latn-CS"/>
    </w:rPr>
  </w:style>
  <w:style w:type="paragraph" w:customStyle="1" w:styleId="StyleBodyoftheletterAfter0pt">
    <w:name w:val="Style Body of the letter + After:  0 pt"/>
    <w:basedOn w:val="Bodyoftheletter"/>
    <w:rsid w:val="00DE0981"/>
  </w:style>
  <w:style w:type="paragraph" w:customStyle="1" w:styleId="StyleBodyoftheletterLinespacingExactly12pt">
    <w:name w:val="Style Body of the letter + Line spacing:  Exactly 12 pt"/>
    <w:basedOn w:val="Bodyoftheletter"/>
    <w:rsid w:val="00CD5D0F"/>
  </w:style>
  <w:style w:type="paragraph" w:customStyle="1" w:styleId="Subjectoftheletter">
    <w:name w:val="Subject of the letter"/>
    <w:rsid w:val="00C5418C"/>
    <w:rPr>
      <w:rFonts w:ascii="Verdana" w:hAnsi="Verdana"/>
      <w:b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rsid w:val="00BC390A"/>
  </w:style>
  <w:style w:type="character" w:styleId="LineNumber">
    <w:name w:val="line number"/>
    <w:basedOn w:val="DefaultParagraphFont"/>
    <w:rsid w:val="008434C3"/>
  </w:style>
  <w:style w:type="character" w:styleId="Hyperlink">
    <w:name w:val="Hyperlink"/>
    <w:rsid w:val="006527A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4C4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C46FC"/>
    <w:rPr>
      <w:rFonts w:ascii="Tahoma" w:hAnsi="Tahoma" w:cs="Tahoma"/>
      <w:sz w:val="16"/>
      <w:szCs w:val="16"/>
      <w:lang w:val="en-US" w:eastAsia="sr-Latn-CS"/>
    </w:rPr>
  </w:style>
  <w:style w:type="character" w:styleId="UnresolvedMention">
    <w:name w:val="Unresolved Mention"/>
    <w:uiPriority w:val="99"/>
    <w:semiHidden/>
    <w:unhideWhenUsed/>
    <w:rsid w:val="007C0CF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7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ina.janackovic@cetin.r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560f86-6e65-463d-bfa8-8a0a696565ad" xsi:nil="true"/>
    <lcf76f155ced4ddcb4097134ff3c332f xmlns="cffbcae0-2c2c-4e03-801f-caf0787882c7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DA15EFC2C486469FB9848507E964D7" ma:contentTypeVersion="11" ma:contentTypeDescription="Create a new document." ma:contentTypeScope="" ma:versionID="2b67ccb0243f11d3161eccf75228e051">
  <xsd:schema xmlns:xsd="http://www.w3.org/2001/XMLSchema" xmlns:xs="http://www.w3.org/2001/XMLSchema" xmlns:p="http://schemas.microsoft.com/office/2006/metadata/properties" xmlns:ns2="cffbcae0-2c2c-4e03-801f-caf0787882c7" xmlns:ns3="1f560f86-6e65-463d-bfa8-8a0a696565ad" targetNamespace="http://schemas.microsoft.com/office/2006/metadata/properties" ma:root="true" ma:fieldsID="b092f11bb5add6231080ac153952d2b5" ns2:_="" ns3:_="">
    <xsd:import namespace="cffbcae0-2c2c-4e03-801f-caf0787882c7"/>
    <xsd:import namespace="1f560f86-6e65-463d-bfa8-8a0a696565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bcae0-2c2c-4e03-801f-caf0787882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a7f5ff-2a8b-4825-b663-7c151f8345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60f86-6e65-463d-bfa8-8a0a696565a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7c36b2-3820-461b-855b-cf864256757f}" ma:internalName="TaxCatchAll" ma:showField="CatchAllData" ma:web="1f560f86-6e65-463d-bfa8-8a0a696565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6B1B97-7FBA-4A3D-ACD9-60D7242DFA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974712-7B7E-45A2-8E8D-D4B437EB71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D90B09-7C31-415A-ACDF-08393FDCEE1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1FC21E6-1020-4105-A079-E019682C678D}">
  <ds:schemaRefs>
    <ds:schemaRef ds:uri="http://schemas.microsoft.com/office/2006/metadata/properties"/>
    <ds:schemaRef ds:uri="http://schemas.microsoft.com/office/infopath/2007/PartnerControls"/>
    <ds:schemaRef ds:uri="1f560f86-6e65-463d-bfa8-8a0a696565ad"/>
    <ds:schemaRef ds:uri="cffbcae0-2c2c-4e03-801f-caf0787882c7"/>
  </ds:schemaRefs>
</ds:datastoreItem>
</file>

<file path=customXml/itemProps5.xml><?xml version="1.0" encoding="utf-8"?>
<ds:datastoreItem xmlns:ds="http://schemas.openxmlformats.org/officeDocument/2006/customXml" ds:itemID="{8EE346F1-928C-40E8-8FAD-555F9A832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fbcae0-2c2c-4e03-801f-caf0787882c7"/>
    <ds:schemaRef ds:uri="1f560f86-6e65-463d-bfa8-8a0a69656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and surname</vt:lpstr>
    </vt:vector>
  </TitlesOfParts>
  <Company>Telenor</Company>
  <LinksUpToDate>false</LinksUpToDate>
  <CharactersWithSpaces>6195</CharactersWithSpaces>
  <SharedDoc>false</SharedDoc>
  <HLinks>
    <vt:vector size="6" baseType="variant">
      <vt:variant>
        <vt:i4>4718624</vt:i4>
      </vt:variant>
      <vt:variant>
        <vt:i4>0</vt:i4>
      </vt:variant>
      <vt:variant>
        <vt:i4>0</vt:i4>
      </vt:variant>
      <vt:variant>
        <vt:i4>5</vt:i4>
      </vt:variant>
      <vt:variant>
        <vt:lpwstr>mailto:marina.janackovic@cetin.rs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surname</dc:title>
  <dc:subject/>
  <dc:creator>Administrator</dc:creator>
  <cp:keywords/>
  <cp:lastModifiedBy>Pavle Kovacevic</cp:lastModifiedBy>
  <cp:revision>13</cp:revision>
  <cp:lastPrinted>2024-09-16T12:17:00Z</cp:lastPrinted>
  <dcterms:created xsi:type="dcterms:W3CDTF">2026-06-05T11:21:00Z</dcterms:created>
  <dcterms:modified xsi:type="dcterms:W3CDTF">2026-06-09T10:44:00Z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picId">
    <vt:lpwstr>95168338</vt:lpwstr>
  </property>
  <property fmtid="{D5CDD505-2E9C-101B-9397-08002B2CF9AE}" pid="3" name="WoWArchivePeriod">
    <vt:lpwstr>StandardPolicy</vt:lpwstr>
  </property>
  <property fmtid="{D5CDD505-2E9C-101B-9397-08002B2CF9AE}" pid="4" name="WoWConfidentiality">
    <vt:lpwstr>Internal</vt:lpwstr>
  </property>
  <property fmtid="{D5CDD505-2E9C-101B-9397-08002B2CF9AE}" pid="5" name="display_urn:schemas-microsoft-com:office:office#WoWContentOwner">
    <vt:lpwstr>Popović, Gordana</vt:lpwstr>
  </property>
  <property fmtid="{D5CDD505-2E9C-101B-9397-08002B2CF9AE}" pid="6" name="WoWContentOwner">
    <vt:lpwstr>24</vt:lpwstr>
  </property>
  <property fmtid="{D5CDD505-2E9C-101B-9397-08002B2CF9AE}" pid="7" name="ContentType">
    <vt:lpwstr>Presentation</vt:lpwstr>
  </property>
  <property fmtid="{D5CDD505-2E9C-101B-9397-08002B2CF9AE}" pid="8" name="Comment">
    <vt:lpwstr/>
  </property>
  <property fmtid="{D5CDD505-2E9C-101B-9397-08002B2CF9AE}" pid="9" name="WoWDocumentDate">
    <vt:lpwstr>2009-11-25T00:00:00Z</vt:lpwstr>
  </property>
  <property fmtid="{D5CDD505-2E9C-101B-9397-08002B2CF9AE}" pid="10" name="WoWArchiveReference">
    <vt:lpwstr/>
  </property>
  <property fmtid="{D5CDD505-2E9C-101B-9397-08002B2CF9AE}" pid="11" name="WoWArchiveBarcode">
    <vt:lpwstr/>
  </property>
  <property fmtid="{D5CDD505-2E9C-101B-9397-08002B2CF9AE}" pid="12" name="about">
    <vt:lpwstr/>
  </property>
  <property fmtid="{D5CDD505-2E9C-101B-9397-08002B2CF9AE}" pid="13" name="WoWLanguage">
    <vt:lpwstr>1</vt:lpwstr>
  </property>
  <property fmtid="{D5CDD505-2E9C-101B-9397-08002B2CF9AE}" pid="14" name="WoWArchiveLocation">
    <vt:lpwstr/>
  </property>
  <property fmtid="{D5CDD505-2E9C-101B-9397-08002B2CF9AE}" pid="15" name="WoWCompany">
    <vt:lpwstr>11</vt:lpwstr>
  </property>
  <property fmtid="{D5CDD505-2E9C-101B-9397-08002B2CF9AE}" pid="16" name="WoWLegalEntity">
    <vt:lpwstr>un.M1</vt:lpwstr>
  </property>
  <property fmtid="{D5CDD505-2E9C-101B-9397-08002B2CF9AE}" pid="17" name="WoWLegalEntityName">
    <vt:lpwstr>205</vt:lpwstr>
  </property>
  <property fmtid="{D5CDD505-2E9C-101B-9397-08002B2CF9AE}" pid="18" name="WoWUniqueId">
    <vt:lpwstr>1BrDtQkVv_o</vt:lpwstr>
  </property>
  <property fmtid="{D5CDD505-2E9C-101B-9397-08002B2CF9AE}" pid="19" name="WoWLink">
    <vt:lpwstr>https://telenorserbia.col.wow.telenor.com/sites/TechnologyDivision/_layouts/TelenorWoW/ShowItem.aspx?ID=1BrDtQkVv_o, https://telenorserbia.col.wow.telenor.com/sites/TechnologyDivision/_layouts/TelenorWoW/ShowItem.aspx?ID=1BrDtQkVv_o</vt:lpwstr>
  </property>
  <property fmtid="{D5CDD505-2E9C-101B-9397-08002B2CF9AE}" pid="20" name="UniqueID">
    <vt:lpwstr>b821f5a2-cb42-450f-b416-ee238bb1d394</vt:lpwstr>
  </property>
  <property fmtid="{D5CDD505-2E9C-101B-9397-08002B2CF9AE}" pid="21" name="ContentTypeId">
    <vt:lpwstr>0x010100B2DA15EFC2C486469FB9848507E964D7</vt:lpwstr>
  </property>
  <property fmtid="{D5CDD505-2E9C-101B-9397-08002B2CF9AE}" pid="22" name="WoWRecordDate">
    <vt:lpwstr/>
  </property>
  <property fmtid="{D5CDD505-2E9C-101B-9397-08002B2CF9AE}" pid="23" name="MSIP_Label_d0167c36-b4d5-4e4e-bd61-39632ce73ec8_Enabled">
    <vt:lpwstr>true</vt:lpwstr>
  </property>
  <property fmtid="{D5CDD505-2E9C-101B-9397-08002B2CF9AE}" pid="24" name="MSIP_Label_d0167c36-b4d5-4e4e-bd61-39632ce73ec8_SetDate">
    <vt:lpwstr>2022-07-18T11:20:49Z</vt:lpwstr>
  </property>
  <property fmtid="{D5CDD505-2E9C-101B-9397-08002B2CF9AE}" pid="25" name="MSIP_Label_d0167c36-b4d5-4e4e-bd61-39632ce73ec8_Method">
    <vt:lpwstr>Privileged</vt:lpwstr>
  </property>
  <property fmtid="{D5CDD505-2E9C-101B-9397-08002B2CF9AE}" pid="26" name="MSIP_Label_d0167c36-b4d5-4e4e-bd61-39632ce73ec8_Name">
    <vt:lpwstr>Open</vt:lpwstr>
  </property>
  <property fmtid="{D5CDD505-2E9C-101B-9397-08002B2CF9AE}" pid="27" name="MSIP_Label_d0167c36-b4d5-4e4e-bd61-39632ce73ec8_SiteId">
    <vt:lpwstr>169bbd4f-4054-49cd-a5c7-0244ab23e3a8</vt:lpwstr>
  </property>
  <property fmtid="{D5CDD505-2E9C-101B-9397-08002B2CF9AE}" pid="28" name="MSIP_Label_d0167c36-b4d5-4e4e-bd61-39632ce73ec8_ActionId">
    <vt:lpwstr>e33cd113-9006-44c8-9c26-436f7bdf9714</vt:lpwstr>
  </property>
  <property fmtid="{D5CDD505-2E9C-101B-9397-08002B2CF9AE}" pid="29" name="MSIP_Label_d0167c36-b4d5-4e4e-bd61-39632ce73ec8_ContentBits">
    <vt:lpwstr>1</vt:lpwstr>
  </property>
  <property fmtid="{D5CDD505-2E9C-101B-9397-08002B2CF9AE}" pid="30" name="MediaServiceImageTags">
    <vt:lpwstr/>
  </property>
</Properties>
</file>